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b/>
          <w:bCs/>
          <w:color w:val="454545"/>
          <w:sz w:val="20"/>
          <w:szCs w:val="20"/>
          <w:lang w:val="ro-RO" w:eastAsia="ru-RU"/>
        </w:rPr>
        <w:t xml:space="preserve">                Alte subiecte </w:t>
      </w:r>
      <w:r w:rsidR="00DD4805">
        <w:rPr>
          <w:rFonts w:ascii="Arial" w:eastAsia="Times New Roman" w:hAnsi="Arial" w:cs="Arial"/>
          <w:b/>
          <w:bCs/>
          <w:color w:val="454545"/>
          <w:sz w:val="20"/>
          <w:szCs w:val="20"/>
          <w:lang w:val="ro-RO" w:eastAsia="ru-RU"/>
        </w:rPr>
        <w:t>analizate si discutate in cadrul Comitetului sectorial si fiscalitate EBA Moldova:</w:t>
      </w:r>
    </w:p>
    <w:p w:rsidR="00A15FE3" w:rsidRPr="00DD4805" w:rsidRDefault="00A15FE3" w:rsidP="00A15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Analiza proiectului de lege privind creditele de consum si propunerea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recomandarilor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de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imbunatatire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si / sau eliminare a neconcordantei legislative.</w:t>
      </w:r>
    </w:p>
    <w:p w:rsidR="00A15FE3" w:rsidRPr="00DD4805" w:rsidRDefault="00A15FE3" w:rsidP="00A15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Revizuirea mecanismului actual de evidenta a mijloacelor fixe si deprecierea lor pentru scopuri fiscale.</w:t>
      </w:r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lang w:val="ro-RO" w:eastAsia="ru-RU"/>
        </w:rPr>
        <w:t> 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Luand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în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consideratie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procedurile complexe de evidenta a mijloacelor fixe pentru scopuri fiscale si principiile diferite de evidenta a acestora pentru scopurile fiscal si financiar, este recomandabila simplificarea evidentei fiscale a uzurii mijloacelor fixe prin alinierea la principiile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contabilitatii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financiare.</w:t>
      </w:r>
    </w:p>
    <w:p w:rsidR="00A15FE3" w:rsidRPr="00DD4805" w:rsidRDefault="00A15FE3" w:rsidP="00A15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Revizuirea mecanismului de raportare prin intermediul sistemului electronic specializat a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livrarilor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peste MDL 100,000 (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cerinta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obligatorie pentru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agentii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economici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platitori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TVA din mun.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Chisinau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si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Balti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, Comrat din 1 iulie 2012).</w:t>
      </w:r>
    </w:p>
    <w:p w:rsidR="00A15FE3" w:rsidRPr="00DD4805" w:rsidRDefault="00A15FE3" w:rsidP="00A1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shd w:val="clear" w:color="auto" w:fill="FFFFFF"/>
          <w:lang w:val="ro-RO" w:eastAsia="ru-RU"/>
        </w:rPr>
        <w:t>Cerinta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shd w:val="clear" w:color="auto" w:fill="FFFFFF"/>
          <w:lang w:val="ro-RO" w:eastAsia="ru-RU"/>
        </w:rPr>
        <w:t xml:space="preserve"> de a declara prin Sistemul electronic specializat 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shd w:val="clear" w:color="auto" w:fill="FFFFFF"/>
          <w:lang w:val="ro-RO" w:eastAsia="ru-RU"/>
        </w:rPr>
        <w:t>informatiei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shd w:val="clear" w:color="auto" w:fill="FFFFFF"/>
          <w:lang w:val="ro-RO" w:eastAsia="ru-RU"/>
        </w:rPr>
        <w:t xml:space="preserve"> aferente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shd w:val="clear" w:color="auto" w:fill="FFFFFF"/>
          <w:lang w:val="ro-RO" w:eastAsia="ru-RU"/>
        </w:rPr>
        <w:t>vinzarilor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shd w:val="clear" w:color="auto" w:fill="FFFFFF"/>
          <w:lang w:val="ro-RO" w:eastAsia="ru-RU"/>
        </w:rPr>
        <w:t xml:space="preserve"> cu o valoare peste de peste MDL 100,000</w:t>
      </w:r>
      <w:r w:rsidRPr="00DD4805">
        <w:rPr>
          <w:rFonts w:ascii="Arial" w:eastAsia="Times New Roman" w:hAnsi="Arial" w:cs="Arial"/>
          <w:color w:val="454545"/>
          <w:sz w:val="20"/>
          <w:lang w:val="ro-RO" w:eastAsia="ru-RU"/>
        </w:rPr>
        <w:t> </w:t>
      </w:r>
      <w:r w:rsidRPr="00DD4805">
        <w:rPr>
          <w:rFonts w:ascii="Arial" w:eastAsia="Times New Roman" w:hAnsi="Arial" w:cs="Arial"/>
          <w:color w:val="454545"/>
          <w:sz w:val="20"/>
          <w:szCs w:val="20"/>
          <w:u w:val="single"/>
          <w:shd w:val="clear" w:color="auto" w:fill="FFFFFF"/>
          <w:lang w:val="ro-RO" w:eastAsia="ru-RU"/>
        </w:rPr>
        <w:t>pe parcursul zilei</w:t>
      </w:r>
      <w:r w:rsidRPr="00DD4805">
        <w:rPr>
          <w:rFonts w:ascii="Arial" w:eastAsia="Times New Roman" w:hAnsi="Arial" w:cs="Arial"/>
          <w:color w:val="454545"/>
          <w:sz w:val="20"/>
          <w:u w:val="single"/>
          <w:lang w:val="ro-RO" w:eastAsia="ru-RU"/>
        </w:rPr>
        <w:t> </w:t>
      </w:r>
      <w:r w:rsidRPr="00DD4805">
        <w:rPr>
          <w:rFonts w:ascii="Arial" w:eastAsia="Times New Roman" w:hAnsi="Arial" w:cs="Arial"/>
          <w:color w:val="454545"/>
          <w:sz w:val="20"/>
          <w:szCs w:val="20"/>
          <w:shd w:val="clear" w:color="auto" w:fill="FFFFFF"/>
          <w:lang w:val="ro-RO" w:eastAsia="ru-RU"/>
        </w:rPr>
        <w:t xml:space="preserve">in care a fost emisa factura fiscala ar crea un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shd w:val="clear" w:color="auto" w:fill="FFFFFF"/>
          <w:lang w:val="ro-RO" w:eastAsia="ru-RU"/>
        </w:rPr>
        <w:t>imediment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shd w:val="clear" w:color="auto" w:fill="FFFFFF"/>
          <w:lang w:val="ro-RO" w:eastAsia="ru-RU"/>
        </w:rPr>
        <w:t xml:space="preserve"> considerabil in activitatea companiilor si ar genera companiilor costuri administrative nejustificate.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shd w:val="clear" w:color="auto" w:fill="FFFFFF"/>
          <w:lang w:val="ro-RO" w:eastAsia="ru-RU"/>
        </w:rPr>
        <w:t>Neinregistrarea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shd w:val="clear" w:color="auto" w:fill="FFFFFF"/>
          <w:lang w:val="ro-RO" w:eastAsia="ru-RU"/>
        </w:rPr>
        <w:t xml:space="preserve"> in termen a facturii fiscale in Registrul general electronic se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shd w:val="clear" w:color="auto" w:fill="FFFFFF"/>
          <w:lang w:val="ro-RO" w:eastAsia="ru-RU"/>
        </w:rPr>
        <w:t>sanctioneaza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shd w:val="clear" w:color="auto" w:fill="FFFFFF"/>
          <w:lang w:val="ro-RO" w:eastAsia="ru-RU"/>
        </w:rPr>
        <w:t xml:space="preserve"> cu o amenda de MDL 3,600 pentru fiecare caz, dar nu mai mult de MDL 108,000 in ansamblu.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Aceste reglementari nu sunt justificate din punct de vedere a poverii depuse asupra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contribuabilui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deoarece,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autoritatile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fiscale dispun de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informatii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privind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livrarile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efectuate de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platitorii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TVA, prin colectarea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informatiilor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la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cumparatorii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marfuri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si beneficiarii de servicii care depun in mod obligatoriu anexele la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Declaratiile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TVA cu detalierea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informatiilor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aferente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achizitiilor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efectuate. Mai mult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decit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atat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, aceste amendament sunt contrarii principiului de baza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mentionat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in art. 6 al Codului Fiscal, randamentul impozitelor - perceperea impozitelor si taxelor cu minim de cheltuieli, cit mai acceptabile pentru contribuabili.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Se propune revizuirea procedurii si a termenului de declarare in mod electronic 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livrarilor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peste acest plafon prin aplicarea mecanismului similar celui de declarare 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procurarilor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platitorilor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TVA prin depunerea unei anexe lunare pe totalul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livrarilor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ce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depasesc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plafonul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mentionat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.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4.  Controalele fiscale si procedura de contestare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Pentru a spori nivelul de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incredere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intre contribuabili si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autoritatile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fiscale, precum si pentru o abordare comuna si echitabila sunt propuse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urmatoarele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modificari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aferente procesului de contestare a rezultatelor controlului fiscal:</w:t>
      </w:r>
      <w:r w:rsidRPr="00DD4805">
        <w:rPr>
          <w:rFonts w:ascii="Arial" w:eastAsia="Times New Roman" w:hAnsi="Arial" w:cs="Arial"/>
          <w:color w:val="454545"/>
          <w:sz w:val="12"/>
          <w:lang w:val="ro-RO" w:eastAsia="ru-RU"/>
        </w:rPr>
        <w:t> </w:t>
      </w:r>
      <w:r w:rsidRPr="00DD4805"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  <w:br/>
      </w:r>
      <w:r w:rsidRPr="00DD4805"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  <w:br/>
      </w: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-        implementarea in principiile de administrare fiscala a conceptului de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probatiune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catre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organul de control a corectitudinii faptelor si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incalcarilor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depistate in cadrul controlului fiscal;</w:t>
      </w:r>
      <w:r w:rsidRPr="00DD4805">
        <w:rPr>
          <w:rFonts w:ascii="Arial" w:eastAsia="Times New Roman" w:hAnsi="Arial" w:cs="Arial"/>
          <w:color w:val="454545"/>
          <w:sz w:val="12"/>
          <w:lang w:val="ro-RO" w:eastAsia="ru-RU"/>
        </w:rPr>
        <w:t> </w:t>
      </w:r>
      <w:r w:rsidRPr="00DD4805"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  <w:br/>
      </w: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-        in perioada de examinare 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contestatie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depuse de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catre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contribuabil sa fie suspendata executarea Deciziei emise pe marginea controlului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fisal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sau alternativ</w:t>
      </w:r>
      <w:r w:rsidRPr="00DD4805">
        <w:rPr>
          <w:rFonts w:ascii="Arial" w:eastAsia="Times New Roman" w:hAnsi="Arial" w:cs="Arial"/>
          <w:color w:val="454545"/>
          <w:sz w:val="20"/>
          <w:lang w:val="ro-RO" w:eastAsia="ru-RU"/>
        </w:rPr>
        <w:t> </w:t>
      </w:r>
      <w:r w:rsidRPr="00DD4805"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  <w:br/>
      </w: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-        in caz ca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deciyia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nu este suspendata iar ulterior in procesului de judecata contribuabilul are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cistig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cauza sa fie automat calculata o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dobanda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incepind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cu ziua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pronuntarii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deciziei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autoritatii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control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pina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in data emiterii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Hotaririi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instantei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judecata.</w:t>
      </w:r>
      <w:r w:rsidRPr="00DD4805">
        <w:rPr>
          <w:rFonts w:ascii="Arial" w:eastAsia="Times New Roman" w:hAnsi="Arial" w:cs="Arial"/>
          <w:color w:val="454545"/>
          <w:sz w:val="20"/>
          <w:lang w:val="ro-RO" w:eastAsia="ru-RU"/>
        </w:rPr>
        <w:t> 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5.        Alinierea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legislatiei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fiscale in corespundere cu Directivele Europene si preluarea bunelor practici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internationale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in domeniul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fiscalitatii</w:t>
      </w:r>
      <w:proofErr w:type="spellEnd"/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6.         Revizuirea cadrul legislativ privind conceptul de evaziune fiscala si modului de atestare a acesteia.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Potrivit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modificarilor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operate prin Legea nr.262 / 19.12.2012 (Monitorul Oficial nr. 21-24/54 din 27.01.2012)  se califica drept evaziune fiscala  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situatia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 in care suma impozitului neachitat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depaseste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MDL 30,000. Anterior aceasta suma a fost MDL 50,000.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De asemenea, componenta de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infractiune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a evaziunii fiscale a fost completata si consta in includerea in documentele contabile,  fiscale sau financiare a unor date denaturate privind veniturile sau cheltuielile, a unor cheltuieli care nu au la baza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operatiuni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reale ori care au la baza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operatiuni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ce nu au existat, sau in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tainuirea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unor obiecte impozabile.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Prin urmare,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luand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in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consideratie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aspectele practice ale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activitatilor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control care rezulta in calcularea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aditionala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a impozitelor pentru Companiile supuse controlului peste plafonul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prevazut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, materialele controlului se transmit organului de ancheta pentru a investiga daca a existat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intentia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si componentele de evaziune fiscale.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lastRenderedPageBreak/>
        <w:t xml:space="preserve">Deseori asemenea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investigatii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sunt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initiate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indiferent de faptul daca compania a contestat rezultatele controlului sau a depus cererea in judecata si se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soldeaza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cel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putin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cu impact asupra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activitatii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operationale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sau chiar cu riscul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reputational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si imaginea companiei.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Respectiv,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luand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in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consideratie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ca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legislatia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fiscala nu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trateaza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expres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notiunea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evaziune fiscala si procedura de determinare a componentelor acesteia, precum si in vederea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evitarii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situatiilor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abuz din partea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autoritatilor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control, se propune examinarea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practiciilor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europene in materie de administrare fiscala si a cadrul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regulatoriu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ce determina procedurile de constatare a evaziunii fiscale si promovarea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recomandarilor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imbunatatire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a acestui proces in Moldova.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b/>
          <w:bCs/>
          <w:color w:val="454545"/>
          <w:sz w:val="20"/>
          <w:szCs w:val="20"/>
          <w:lang w:val="ro-RO" w:eastAsia="ru-RU"/>
        </w:rPr>
        <w:t>7.        </w:t>
      </w:r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Revizuirea cadrului fiscal pentru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tranzactiile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cu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agentii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economici din Transnistria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Luand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in considerare sporirea ritmului economic si majorarea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numarului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tranzactii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economice cu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agentii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economici din Transnistria este recomandabila revizuirea tratamentului fiscal privind impozitarea indirecta. In special este necesar de a fi eliminata dubla impozitare ( ca exemplu 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livrarilor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marfuri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) pentru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tranzactiile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catre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agentii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economici din Transnistria, deoarece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marfurile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sunt impozitate cu TVA si accize conform normelor generale ale Codului Fiscal, iar ulterior acestea sunt taxate si cu impozit pe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vinzari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aplicabil conform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legislatiei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acestei regiuni. Acest fapt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influenteata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nefavorabil asupra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promovarii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marfurilor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si reduce nivelul de competitivitate 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acesora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in regiunea Transnistreana.</w:t>
      </w:r>
      <w:r w:rsidRPr="00DD4805">
        <w:rPr>
          <w:rFonts w:ascii="Arial" w:eastAsia="Times New Roman" w:hAnsi="Arial" w:cs="Arial"/>
          <w:color w:val="454545"/>
          <w:sz w:val="20"/>
          <w:lang w:val="ro-RO" w:eastAsia="ru-RU"/>
        </w:rPr>
        <w:t> </w:t>
      </w:r>
      <w:r w:rsidRPr="00DD4805"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  <w:br/>
      </w:r>
      <w:r w:rsidRPr="00DD4805"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  <w:br/>
      </w: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Potrivit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informatiilor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discutate in cadrul comitetului s-a comunicat ca in regiunea transnistreana s-au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facut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careva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modificari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cu referire la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achizitia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marfuri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din R. Moldova (anularea taxei special aplicate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marfurilor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provinienta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din Moldova, anularea accizelor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pina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la 1 ianuarie 2013).</w:t>
      </w:r>
      <w:r w:rsidRPr="00DD4805">
        <w:rPr>
          <w:rFonts w:ascii="Arial" w:eastAsia="Times New Roman" w:hAnsi="Arial" w:cs="Arial"/>
          <w:color w:val="454545"/>
          <w:sz w:val="12"/>
          <w:lang w:val="ro-RO" w:eastAsia="ru-RU"/>
        </w:rPr>
        <w:t> </w:t>
      </w:r>
      <w:r w:rsidRPr="00DD4805"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  <w:br/>
      </w:r>
      <w:r w:rsidRPr="00DD4805"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  <w:br/>
      </w: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8.        </w:t>
      </w:r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Eliminarea limitei de reportare in viitor a pierderilor fiscale in 5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parti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egale.  Se recomanda de a fi reportare pierderile fiscale pe parcursul a 5 perioade fiscale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fara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limitarea in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parti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egale.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9.        </w:t>
      </w:r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Introducerea conceptului de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Solutie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Fiscala individualizata in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legislatia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fiscala potrivit conceptului </w:t>
      </w:r>
      <w:proofErr w:type="spellStart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>aplcabil</w:t>
      </w:r>
      <w:proofErr w:type="spellEnd"/>
      <w:r w:rsidRPr="00DD4805">
        <w:rPr>
          <w:rFonts w:ascii="Arial" w:eastAsia="Times New Roman" w:hAnsi="Arial" w:cs="Arial"/>
          <w:b/>
          <w:bCs/>
          <w:i/>
          <w:iCs/>
          <w:color w:val="454545"/>
          <w:sz w:val="20"/>
          <w:szCs w:val="20"/>
          <w:lang w:val="ro-RO" w:eastAsia="ru-RU"/>
        </w:rPr>
        <w:t xml:space="preserve"> deja cu succes in marea majoritate a statelor europene.</w:t>
      </w:r>
    </w:p>
    <w:p w:rsidR="00A15FE3" w:rsidRPr="00DD4805" w:rsidRDefault="00A15FE3" w:rsidP="00A1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</w:pP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Luand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in considerare complexitatea subiectelor abordate, propunerile membrilor Comitetului, precum si alte subiecte fiscale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nesolutionare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la moment, propun de a discuta in detaliu aceste subiecte in cadrul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sedintei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urmatoare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a comitetului si completarea acestei liste prin formarea unui document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sumarizat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ce ar enumera subiectele de baza propuse pentru analiza si promovarea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recomandarilor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.</w:t>
      </w:r>
      <w:r w:rsidRPr="00DD4805">
        <w:rPr>
          <w:rFonts w:ascii="Arial" w:eastAsia="Times New Roman" w:hAnsi="Arial" w:cs="Arial"/>
          <w:color w:val="454545"/>
          <w:sz w:val="20"/>
          <w:lang w:val="ro-RO" w:eastAsia="ru-RU"/>
        </w:rPr>
        <w:t> </w:t>
      </w:r>
      <w:r w:rsidRPr="00DD4805"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  <w:br/>
      </w:r>
      <w:r w:rsidRPr="00DD4805">
        <w:rPr>
          <w:rFonts w:ascii="Arial" w:eastAsia="Times New Roman" w:hAnsi="Arial" w:cs="Arial"/>
          <w:color w:val="454545"/>
          <w:sz w:val="12"/>
          <w:szCs w:val="12"/>
          <w:lang w:val="ro-RO" w:eastAsia="ru-RU"/>
        </w:rPr>
        <w:br/>
      </w:r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Aceasta va permite de a trasa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directiile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activitate a comitetului, determinarea ariilor unde pot fi unificate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fortele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pentru a argumenta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pozitia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comunitatii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de afaceri privind necesitatea amendamentelor legislative sau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solutionarii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anumitor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situatii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ce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creaza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riscuri / costuri </w:t>
      </w:r>
      <w:proofErr w:type="spellStart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>aditionale</w:t>
      </w:r>
      <w:proofErr w:type="spellEnd"/>
      <w:r w:rsidRPr="00DD4805">
        <w:rPr>
          <w:rFonts w:ascii="Arial" w:eastAsia="Times New Roman" w:hAnsi="Arial" w:cs="Arial"/>
          <w:color w:val="454545"/>
          <w:sz w:val="20"/>
          <w:szCs w:val="20"/>
          <w:lang w:val="ro-RO" w:eastAsia="ru-RU"/>
        </w:rPr>
        <w:t xml:space="preserve"> si bariere administrative in activitatea de afaceri in Moldova.</w:t>
      </w:r>
      <w:r w:rsidRPr="00DD4805">
        <w:rPr>
          <w:rFonts w:ascii="Arial" w:eastAsia="Times New Roman" w:hAnsi="Arial" w:cs="Arial"/>
          <w:color w:val="454545"/>
          <w:sz w:val="12"/>
          <w:lang w:val="ro-RO" w:eastAsia="ru-RU"/>
        </w:rPr>
        <w:t> </w:t>
      </w:r>
    </w:p>
    <w:p w:rsidR="00C9220E" w:rsidRPr="00DD4805" w:rsidRDefault="00C9220E">
      <w:pPr>
        <w:rPr>
          <w:lang w:val="ro-RO"/>
        </w:rPr>
      </w:pPr>
    </w:p>
    <w:sectPr w:rsidR="00C9220E" w:rsidRPr="00DD4805" w:rsidSect="00C9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229C1"/>
    <w:multiLevelType w:val="multilevel"/>
    <w:tmpl w:val="5CF4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15FE3"/>
    <w:rsid w:val="00133A8F"/>
    <w:rsid w:val="002E1752"/>
    <w:rsid w:val="006C4627"/>
    <w:rsid w:val="00702C35"/>
    <w:rsid w:val="00A15FE3"/>
    <w:rsid w:val="00A25003"/>
    <w:rsid w:val="00C9220E"/>
    <w:rsid w:val="00CD77B6"/>
    <w:rsid w:val="00DD4805"/>
    <w:rsid w:val="00E0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FE3"/>
  </w:style>
  <w:style w:type="paragraph" w:styleId="a3">
    <w:name w:val="Normal (Web)"/>
    <w:basedOn w:val="a"/>
    <w:uiPriority w:val="99"/>
    <w:semiHidden/>
    <w:unhideWhenUsed/>
    <w:rsid w:val="00A1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2012-03-05T13:06:00Z</dcterms:created>
  <dcterms:modified xsi:type="dcterms:W3CDTF">2012-03-12T08:33:00Z</dcterms:modified>
</cp:coreProperties>
</file>