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5D6" w:rsidRPr="009D7B16" w:rsidRDefault="00AF45D6" w:rsidP="00A628A3">
      <w:pPr>
        <w:tabs>
          <w:tab w:val="left" w:pos="1080"/>
        </w:tabs>
        <w:spacing w:after="0" w:line="240" w:lineRule="auto"/>
        <w:ind w:firstLine="720"/>
        <w:rPr>
          <w:rFonts w:asciiTheme="majorHAnsi" w:eastAsia="Times New Roman" w:hAnsiTheme="majorHAnsi" w:cstheme="minorHAnsi"/>
          <w:b/>
          <w:color w:val="000000" w:themeColor="text1"/>
          <w:lang w:val="ro-RO" w:eastAsia="ru-RU"/>
        </w:rPr>
      </w:pPr>
    </w:p>
    <w:p w:rsidR="00A628A3" w:rsidRPr="009D7B16" w:rsidRDefault="00A628A3" w:rsidP="00A628A3">
      <w:pPr>
        <w:shd w:val="clear" w:color="auto" w:fill="FFFFFF"/>
        <w:spacing w:after="0" w:line="240" w:lineRule="auto"/>
        <w:ind w:left="14"/>
        <w:rPr>
          <w:rFonts w:asciiTheme="majorHAnsi" w:hAnsiTheme="majorHAnsi" w:cstheme="minorHAnsi"/>
          <w:b/>
          <w:color w:val="000000" w:themeColor="text1"/>
          <w:spacing w:val="-2"/>
          <w:lang w:val="ro-RO"/>
        </w:rPr>
      </w:pPr>
    </w:p>
    <w:p w:rsidR="00A628A3" w:rsidRPr="009D7B16" w:rsidRDefault="00A628A3" w:rsidP="00A628A3">
      <w:pPr>
        <w:shd w:val="clear" w:color="auto" w:fill="FFFFFF"/>
        <w:spacing w:after="0" w:line="240" w:lineRule="auto"/>
        <w:ind w:left="14"/>
        <w:rPr>
          <w:rFonts w:asciiTheme="majorHAnsi" w:hAnsiTheme="majorHAnsi" w:cstheme="minorHAnsi"/>
          <w:b/>
          <w:color w:val="000000" w:themeColor="text1"/>
          <w:spacing w:val="-2"/>
          <w:lang w:val="ro-RO"/>
        </w:rPr>
      </w:pPr>
    </w:p>
    <w:p w:rsidR="00A628A3" w:rsidRPr="009D7B16" w:rsidRDefault="00A628A3" w:rsidP="00A628A3">
      <w:pPr>
        <w:shd w:val="clear" w:color="auto" w:fill="FFFFFF"/>
        <w:spacing w:after="0" w:line="240" w:lineRule="auto"/>
        <w:ind w:left="14"/>
        <w:rPr>
          <w:rFonts w:asciiTheme="majorHAnsi" w:hAnsiTheme="majorHAnsi" w:cstheme="minorHAnsi"/>
          <w:b/>
          <w:color w:val="000000" w:themeColor="text1"/>
          <w:spacing w:val="-2"/>
          <w:lang w:val="ro-RO"/>
        </w:rPr>
      </w:pPr>
    </w:p>
    <w:p w:rsidR="00F4288D" w:rsidRPr="001B1C1C" w:rsidRDefault="00F4288D" w:rsidP="00CF583F">
      <w:pPr>
        <w:tabs>
          <w:tab w:val="left" w:pos="1080"/>
        </w:tabs>
        <w:spacing w:after="0" w:line="240" w:lineRule="auto"/>
        <w:jc w:val="right"/>
        <w:rPr>
          <w:rFonts w:asciiTheme="majorHAnsi" w:eastAsia="Times New Roman" w:hAnsiTheme="majorHAnsi" w:cstheme="minorHAnsi"/>
          <w:b/>
          <w:lang w:val="ro-RO" w:eastAsia="ru-RU"/>
        </w:rPr>
      </w:pPr>
      <w:r w:rsidRPr="001B1C1C">
        <w:rPr>
          <w:rFonts w:asciiTheme="majorHAnsi" w:eastAsia="Times New Roman" w:hAnsiTheme="majorHAnsi" w:cstheme="minorHAnsi"/>
          <w:b/>
          <w:lang w:val="ro-RO" w:eastAsia="ru-RU"/>
        </w:rPr>
        <w:t>Anexa 1</w:t>
      </w:r>
    </w:p>
    <w:p w:rsidR="00F4288D" w:rsidRPr="001B1C1C" w:rsidRDefault="00F4288D" w:rsidP="004F0CBF">
      <w:pPr>
        <w:tabs>
          <w:tab w:val="left" w:pos="1080"/>
        </w:tabs>
        <w:spacing w:after="0" w:line="240" w:lineRule="auto"/>
        <w:jc w:val="center"/>
        <w:rPr>
          <w:rFonts w:asciiTheme="majorHAnsi" w:eastAsia="Times New Roman" w:hAnsiTheme="majorHAnsi" w:cstheme="minorHAnsi"/>
          <w:b/>
          <w:lang w:val="ro-RO" w:eastAsia="ru-RU"/>
        </w:rPr>
      </w:pPr>
    </w:p>
    <w:p w:rsidR="00F4288D" w:rsidRPr="001B1C1C" w:rsidRDefault="00F4288D" w:rsidP="004F0CBF">
      <w:pPr>
        <w:tabs>
          <w:tab w:val="left" w:pos="1080"/>
        </w:tabs>
        <w:spacing w:after="0" w:line="240" w:lineRule="auto"/>
        <w:jc w:val="center"/>
        <w:rPr>
          <w:rFonts w:asciiTheme="majorHAnsi" w:eastAsia="Times New Roman" w:hAnsiTheme="majorHAnsi" w:cstheme="minorHAnsi"/>
          <w:b/>
          <w:lang w:val="ro-RO" w:eastAsia="ru-RU"/>
        </w:rPr>
      </w:pPr>
      <w:r w:rsidRPr="001B1C1C">
        <w:rPr>
          <w:rFonts w:asciiTheme="majorHAnsi" w:eastAsia="Times New Roman" w:hAnsiTheme="majorHAnsi" w:cstheme="minorHAnsi"/>
          <w:b/>
          <w:lang w:val="ro-RO" w:eastAsia="ru-RU"/>
        </w:rPr>
        <w:t xml:space="preserve">Comentarii </w:t>
      </w:r>
      <w:r w:rsidR="009D7B16" w:rsidRPr="001B1C1C">
        <w:rPr>
          <w:rFonts w:asciiTheme="majorHAnsi" w:eastAsia="Times New Roman" w:hAnsiTheme="majorHAnsi" w:cstheme="minorHAnsi"/>
          <w:b/>
          <w:lang w:val="ro-RO" w:eastAsia="ru-RU"/>
        </w:rPr>
        <w:t>ş</w:t>
      </w:r>
      <w:r w:rsidRPr="001B1C1C">
        <w:rPr>
          <w:rFonts w:asciiTheme="majorHAnsi" w:eastAsia="Times New Roman" w:hAnsiTheme="majorHAnsi" w:cstheme="minorHAnsi"/>
          <w:b/>
          <w:lang w:val="ro-RO" w:eastAsia="ru-RU"/>
        </w:rPr>
        <w:t xml:space="preserve">i Recomandări </w:t>
      </w:r>
    </w:p>
    <w:p w:rsidR="00F4288D" w:rsidRPr="001B1C1C" w:rsidRDefault="00984B38" w:rsidP="004F0CBF">
      <w:pPr>
        <w:tabs>
          <w:tab w:val="left" w:pos="1080"/>
        </w:tabs>
        <w:spacing w:after="0" w:line="240" w:lineRule="auto"/>
        <w:jc w:val="center"/>
        <w:rPr>
          <w:rFonts w:asciiTheme="majorHAnsi" w:eastAsia="Times New Roman" w:hAnsiTheme="majorHAnsi" w:cstheme="minorHAnsi"/>
          <w:b/>
          <w:lang w:val="ro-RO" w:eastAsia="ru-RU"/>
        </w:rPr>
      </w:pPr>
      <w:r w:rsidRPr="001B1C1C">
        <w:rPr>
          <w:rFonts w:asciiTheme="majorHAnsi" w:eastAsia="Times New Roman" w:hAnsiTheme="majorHAnsi" w:cstheme="minorHAnsi"/>
          <w:b/>
          <w:lang w:val="ro-RO" w:eastAsia="ru-RU"/>
        </w:rPr>
        <w:t xml:space="preserve">referitoare </w:t>
      </w:r>
      <w:r w:rsidR="00F4288D" w:rsidRPr="001B1C1C">
        <w:rPr>
          <w:rFonts w:asciiTheme="majorHAnsi" w:eastAsia="Times New Roman" w:hAnsiTheme="majorHAnsi" w:cstheme="minorHAnsi"/>
          <w:b/>
          <w:lang w:val="ro-RO" w:eastAsia="ru-RU"/>
        </w:rPr>
        <w:t>la Obiectivele Politicii Fiscale 2013-2015</w:t>
      </w:r>
    </w:p>
    <w:p w:rsidR="00061ABC" w:rsidRPr="001B1C1C" w:rsidRDefault="00061ABC" w:rsidP="004F0CBF">
      <w:pPr>
        <w:tabs>
          <w:tab w:val="left" w:pos="1080"/>
        </w:tabs>
        <w:spacing w:after="0" w:line="240" w:lineRule="auto"/>
        <w:jc w:val="both"/>
        <w:rPr>
          <w:rFonts w:asciiTheme="majorHAnsi" w:eastAsia="Times New Roman" w:hAnsiTheme="majorHAnsi" w:cstheme="minorHAnsi"/>
          <w:lang w:val="ro-RO" w:eastAsia="ru-RU"/>
        </w:rPr>
      </w:pPr>
    </w:p>
    <w:p w:rsidR="00F4288D" w:rsidRPr="001B1C1C" w:rsidRDefault="00870214" w:rsidP="00404348">
      <w:pPr>
        <w:pStyle w:val="af6"/>
        <w:numPr>
          <w:ilvl w:val="0"/>
          <w:numId w:val="34"/>
        </w:numPr>
        <w:spacing w:after="0" w:line="240" w:lineRule="auto"/>
        <w:jc w:val="both"/>
        <w:rPr>
          <w:rFonts w:asciiTheme="majorHAnsi" w:hAnsiTheme="majorHAnsi" w:cstheme="minorHAnsi"/>
          <w:b/>
          <w:i/>
          <w:u w:val="single"/>
          <w:lang w:val="ro-MO"/>
        </w:rPr>
      </w:pPr>
      <w:r w:rsidRPr="001B1C1C">
        <w:rPr>
          <w:rFonts w:asciiTheme="majorHAnsi" w:hAnsiTheme="majorHAnsi" w:cstheme="minorHAnsi"/>
          <w:b/>
          <w:i/>
          <w:u w:val="single"/>
          <w:lang w:val="ro-MO"/>
        </w:rPr>
        <w:t>Impozitul pe venit</w:t>
      </w:r>
      <w:r w:rsidR="00984B38" w:rsidRPr="001B1C1C">
        <w:rPr>
          <w:rFonts w:asciiTheme="majorHAnsi" w:hAnsiTheme="majorHAnsi" w:cstheme="minorHAnsi"/>
          <w:b/>
          <w:i/>
          <w:u w:val="single"/>
          <w:lang w:val="ro-MO"/>
        </w:rPr>
        <w:t xml:space="preserve"> din activitatea de întreprinzător</w:t>
      </w:r>
      <w:r w:rsidRPr="001B1C1C">
        <w:rPr>
          <w:rFonts w:asciiTheme="majorHAnsi" w:hAnsiTheme="majorHAnsi" w:cstheme="minorHAnsi"/>
          <w:b/>
          <w:i/>
          <w:u w:val="single"/>
          <w:lang w:val="ro-MO"/>
        </w:rPr>
        <w:t xml:space="preserve"> </w:t>
      </w:r>
    </w:p>
    <w:p w:rsidR="00061ABC" w:rsidRPr="001B1C1C" w:rsidRDefault="00061ABC" w:rsidP="00061ABC">
      <w:pPr>
        <w:tabs>
          <w:tab w:val="left" w:pos="1080"/>
        </w:tabs>
        <w:spacing w:after="0" w:line="240" w:lineRule="auto"/>
        <w:rPr>
          <w:rFonts w:asciiTheme="majorHAnsi" w:eastAsia="Times New Roman" w:hAnsiTheme="majorHAnsi" w:cstheme="minorHAnsi"/>
          <w:u w:val="single"/>
          <w:lang w:val="ro-RO" w:eastAsia="ru-RU"/>
        </w:rPr>
      </w:pPr>
    </w:p>
    <w:tbl>
      <w:tblPr>
        <w:tblStyle w:val="af5"/>
        <w:tblW w:w="11430" w:type="dxa"/>
        <w:tblInd w:w="-162" w:type="dxa"/>
        <w:tblLook w:val="04A0"/>
      </w:tblPr>
      <w:tblGrid>
        <w:gridCol w:w="360"/>
        <w:gridCol w:w="2250"/>
        <w:gridCol w:w="8820"/>
      </w:tblGrid>
      <w:tr w:rsidR="00804ABC" w:rsidRPr="001B1C1C" w:rsidTr="001F1403">
        <w:tc>
          <w:tcPr>
            <w:tcW w:w="360" w:type="dxa"/>
          </w:tcPr>
          <w:p w:rsidR="00804ABC" w:rsidRPr="001B1C1C" w:rsidRDefault="00804ABC" w:rsidP="009D7B16">
            <w:pPr>
              <w:pStyle w:val="a2"/>
              <w:spacing w:before="120" w:after="120"/>
              <w:jc w:val="center"/>
              <w:rPr>
                <w:rFonts w:asciiTheme="majorHAnsi" w:hAnsiTheme="majorHAnsi" w:cstheme="minorHAnsi"/>
                <w:b/>
                <w:lang w:val="ro-RO"/>
              </w:rPr>
            </w:pPr>
          </w:p>
        </w:tc>
        <w:tc>
          <w:tcPr>
            <w:tcW w:w="2250" w:type="dxa"/>
          </w:tcPr>
          <w:p w:rsidR="00804ABC" w:rsidRPr="001B1C1C" w:rsidRDefault="00804ABC" w:rsidP="009D7B16">
            <w:pPr>
              <w:pStyle w:val="a2"/>
              <w:spacing w:before="120" w:after="120"/>
              <w:jc w:val="center"/>
              <w:rPr>
                <w:rFonts w:asciiTheme="majorHAnsi" w:hAnsiTheme="majorHAnsi" w:cstheme="minorHAnsi"/>
                <w:b/>
                <w:lang w:val="ro-RO"/>
              </w:rPr>
            </w:pPr>
            <w:r w:rsidRPr="001B1C1C">
              <w:rPr>
                <w:rFonts w:asciiTheme="majorHAnsi" w:hAnsiTheme="majorHAnsi" w:cstheme="minorHAnsi"/>
                <w:b/>
                <w:lang w:val="ro-RO"/>
              </w:rPr>
              <w:t>Concept</w:t>
            </w:r>
          </w:p>
        </w:tc>
        <w:tc>
          <w:tcPr>
            <w:tcW w:w="8820" w:type="dxa"/>
          </w:tcPr>
          <w:p w:rsidR="00804ABC" w:rsidRPr="001B1C1C" w:rsidRDefault="00804ABC" w:rsidP="009D7B16">
            <w:pPr>
              <w:pStyle w:val="a2"/>
              <w:spacing w:before="120" w:after="120"/>
              <w:jc w:val="center"/>
              <w:rPr>
                <w:rFonts w:asciiTheme="majorHAnsi" w:hAnsiTheme="majorHAnsi" w:cstheme="minorHAnsi"/>
                <w:b/>
                <w:lang w:val="ro-RO"/>
              </w:rPr>
            </w:pPr>
            <w:r w:rsidRPr="001B1C1C">
              <w:rPr>
                <w:rFonts w:asciiTheme="majorHAnsi" w:hAnsiTheme="majorHAnsi" w:cstheme="minorHAnsi"/>
                <w:b/>
                <w:lang w:val="ro-RO"/>
              </w:rPr>
              <w:t>Comentarii / Recomandări</w:t>
            </w:r>
          </w:p>
        </w:tc>
      </w:tr>
      <w:tr w:rsidR="00804ABC" w:rsidRPr="001B1C1C" w:rsidTr="001F1403">
        <w:tc>
          <w:tcPr>
            <w:tcW w:w="360" w:type="dxa"/>
          </w:tcPr>
          <w:p w:rsidR="00804ABC" w:rsidRPr="001B1C1C" w:rsidRDefault="00B015DE" w:rsidP="009D7B16">
            <w:pPr>
              <w:tabs>
                <w:tab w:val="left" w:pos="1080"/>
              </w:tabs>
              <w:spacing w:before="120" w:after="120" w:line="240" w:lineRule="atLeast"/>
              <w:rPr>
                <w:rFonts w:asciiTheme="majorHAnsi" w:hAnsiTheme="majorHAnsi" w:cstheme="minorHAnsi"/>
                <w:lang w:val="ro-RO"/>
              </w:rPr>
            </w:pPr>
            <w:r w:rsidRPr="001B1C1C">
              <w:rPr>
                <w:rFonts w:asciiTheme="majorHAnsi" w:hAnsiTheme="majorHAnsi" w:cstheme="minorHAnsi"/>
                <w:lang w:val="ro-RO"/>
              </w:rPr>
              <w:t>1</w:t>
            </w:r>
          </w:p>
        </w:tc>
        <w:tc>
          <w:tcPr>
            <w:tcW w:w="2250" w:type="dxa"/>
          </w:tcPr>
          <w:p w:rsidR="00804ABC" w:rsidRPr="001B1C1C" w:rsidRDefault="00B015DE" w:rsidP="009D7B16">
            <w:pPr>
              <w:tabs>
                <w:tab w:val="left" w:pos="1080"/>
              </w:tabs>
              <w:spacing w:before="120" w:after="120" w:line="240" w:lineRule="atLeast"/>
              <w:rPr>
                <w:rFonts w:asciiTheme="majorHAnsi" w:eastAsia="Times New Roman" w:hAnsiTheme="majorHAnsi" w:cstheme="minorHAnsi"/>
                <w:i/>
                <w:u w:val="single"/>
                <w:lang w:val="ro-RO" w:eastAsia="ru-RU"/>
              </w:rPr>
            </w:pPr>
            <w:r w:rsidRPr="001B1C1C">
              <w:rPr>
                <w:rFonts w:asciiTheme="majorHAnsi" w:hAnsiTheme="majorHAnsi" w:cstheme="minorHAnsi"/>
                <w:i/>
                <w:lang w:val="ro-RO"/>
              </w:rPr>
              <w:t xml:space="preserve">„Implementarea obiectivelor propuse anterior în politica fiscală pentru </w:t>
            </w:r>
            <w:r w:rsidRPr="001B1C1C">
              <w:rPr>
                <w:rFonts w:asciiTheme="majorHAnsi" w:hAnsiTheme="majorHAnsi" w:cstheme="minorHAnsi"/>
                <w:b/>
                <w:i/>
                <w:lang w:val="ro-RO"/>
              </w:rPr>
              <w:t>2012-2014</w:t>
            </w:r>
            <w:r w:rsidRPr="001B1C1C">
              <w:rPr>
                <w:rFonts w:asciiTheme="majorHAnsi" w:hAnsiTheme="majorHAnsi" w:cstheme="minorHAnsi"/>
                <w:i/>
                <w:lang w:val="ro-RO"/>
              </w:rPr>
              <w:t>”</w:t>
            </w:r>
          </w:p>
        </w:tc>
        <w:tc>
          <w:tcPr>
            <w:tcW w:w="8820" w:type="dxa"/>
          </w:tcPr>
          <w:p w:rsidR="00AC5AEB" w:rsidRPr="001B1C1C" w:rsidRDefault="00B015DE" w:rsidP="009D7B16">
            <w:pPr>
              <w:pStyle w:val="a2"/>
              <w:spacing w:before="120" w:after="120" w:line="240" w:lineRule="atLeast"/>
              <w:rPr>
                <w:rFonts w:asciiTheme="majorHAnsi" w:hAnsiTheme="majorHAnsi" w:cstheme="minorHAnsi"/>
                <w:lang w:val="ro-RO"/>
              </w:rPr>
            </w:pPr>
            <w:r w:rsidRPr="001B1C1C">
              <w:rPr>
                <w:rFonts w:asciiTheme="majorHAnsi" w:hAnsiTheme="majorHAnsi" w:cstheme="minorHAnsi"/>
                <w:lang w:val="ro-RO"/>
              </w:rPr>
              <w:t>Astfel cum a fost menţionat anterior în Obiectivele Politicii fiscale pentru 2012-2014, recomandăm:</w:t>
            </w:r>
          </w:p>
          <w:p w:rsidR="00804ABC" w:rsidRPr="001B1C1C" w:rsidRDefault="00B015DE" w:rsidP="009D7B16">
            <w:pPr>
              <w:pStyle w:val="a2"/>
              <w:numPr>
                <w:ilvl w:val="0"/>
                <w:numId w:val="5"/>
              </w:numPr>
              <w:spacing w:before="120" w:after="120" w:line="240" w:lineRule="atLeast"/>
              <w:rPr>
                <w:rFonts w:asciiTheme="majorHAnsi" w:hAnsiTheme="majorHAnsi" w:cstheme="minorHAnsi"/>
                <w:lang w:val="ro-RO"/>
              </w:rPr>
            </w:pPr>
            <w:r w:rsidRPr="001B1C1C">
              <w:rPr>
                <w:rFonts w:asciiTheme="majorHAnsi" w:hAnsiTheme="majorHAnsi" w:cstheme="minorHAnsi"/>
                <w:lang w:val="ro-RO"/>
              </w:rPr>
              <w:t>revizuirea regimului deductibilităţii cheltuielilor achitate de către patron (de ex. transport, studii şi perfecţionări, facilităţile acordate de către patron, etc.). Aceste măsuri vor contribui benefic atât la dezvoltarea capacităţilor forţei de muncă din Moldova, cât şi  vor stimula investirea în personalul companiilor din partea angajatorilor fără costuri fiscale suplimentare, în vederea motivării personalului în scopul dezvoltării constante a companiilor angajatoare;</w:t>
            </w:r>
          </w:p>
          <w:p w:rsidR="00804ABC" w:rsidRPr="001B1C1C" w:rsidRDefault="00B015DE" w:rsidP="009D7B16">
            <w:pPr>
              <w:pStyle w:val="a2"/>
              <w:numPr>
                <w:ilvl w:val="0"/>
                <w:numId w:val="5"/>
              </w:numPr>
              <w:tabs>
                <w:tab w:val="left" w:pos="1080"/>
              </w:tabs>
              <w:spacing w:before="120" w:after="120" w:line="240" w:lineRule="atLeast"/>
              <w:rPr>
                <w:rFonts w:asciiTheme="majorHAnsi" w:hAnsiTheme="majorHAnsi" w:cstheme="minorHAnsi"/>
                <w:lang w:val="ro-RO"/>
              </w:rPr>
            </w:pPr>
            <w:r w:rsidRPr="001B1C1C">
              <w:rPr>
                <w:rFonts w:asciiTheme="majorHAnsi" w:hAnsiTheme="majorHAnsi" w:cstheme="minorHAnsi"/>
                <w:lang w:val="ro-RO"/>
              </w:rPr>
              <w:t>revizuirea spectrului de cheltuieli de reprezentanţă permise spre deducere.</w:t>
            </w:r>
          </w:p>
        </w:tc>
      </w:tr>
      <w:tr w:rsidR="00804ABC" w:rsidRPr="000A4B34" w:rsidTr="001F1403">
        <w:tc>
          <w:tcPr>
            <w:tcW w:w="360" w:type="dxa"/>
          </w:tcPr>
          <w:p w:rsidR="00804ABC" w:rsidRPr="008352C7" w:rsidRDefault="00C81E91" w:rsidP="009D7B16">
            <w:pPr>
              <w:tabs>
                <w:tab w:val="left" w:pos="1080"/>
              </w:tabs>
              <w:spacing w:before="120" w:after="120" w:line="240" w:lineRule="atLeast"/>
              <w:rPr>
                <w:rFonts w:asciiTheme="majorHAnsi" w:hAnsiTheme="majorHAnsi" w:cstheme="minorHAnsi"/>
                <w:lang w:val="ro-RO"/>
              </w:rPr>
            </w:pPr>
            <w:r w:rsidRPr="008352C7">
              <w:rPr>
                <w:rFonts w:asciiTheme="majorHAnsi" w:hAnsiTheme="majorHAnsi" w:cstheme="minorHAnsi"/>
                <w:lang w:val="ro-RO"/>
              </w:rPr>
              <w:t>2</w:t>
            </w:r>
          </w:p>
        </w:tc>
        <w:tc>
          <w:tcPr>
            <w:tcW w:w="2250" w:type="dxa"/>
          </w:tcPr>
          <w:p w:rsidR="00804ABC" w:rsidRPr="008352C7" w:rsidRDefault="00B015DE" w:rsidP="009D7B16">
            <w:pPr>
              <w:tabs>
                <w:tab w:val="left" w:pos="1080"/>
              </w:tabs>
              <w:spacing w:before="120" w:after="120" w:line="240" w:lineRule="atLeast"/>
              <w:rPr>
                <w:rFonts w:asciiTheme="majorHAnsi" w:eastAsia="Times New Roman" w:hAnsiTheme="majorHAnsi" w:cstheme="minorHAnsi"/>
                <w:i/>
                <w:u w:val="single"/>
                <w:lang w:val="ro-RO" w:eastAsia="ru-RU"/>
              </w:rPr>
            </w:pPr>
            <w:r w:rsidRPr="008352C7">
              <w:rPr>
                <w:rFonts w:asciiTheme="majorHAnsi" w:hAnsiTheme="majorHAnsi" w:cstheme="minorHAnsi"/>
                <w:i/>
                <w:lang w:val="ro-RO"/>
              </w:rPr>
              <w:t>„Pentru anul 2014 se prevede introducerea conceptului privind „preţurile de transfer”. Scopul măsurii date este de a crea condiţii egale de impunere a agenţilor economici autohtoni şi companiilor multinaţionale”</w:t>
            </w:r>
          </w:p>
        </w:tc>
        <w:tc>
          <w:tcPr>
            <w:tcW w:w="8820" w:type="dxa"/>
          </w:tcPr>
          <w:p w:rsidR="0066491F" w:rsidRPr="008352C7" w:rsidRDefault="00B015DE" w:rsidP="009D7B16">
            <w:pPr>
              <w:pStyle w:val="a2"/>
              <w:spacing w:before="120" w:after="120" w:line="240" w:lineRule="atLeast"/>
              <w:rPr>
                <w:rFonts w:asciiTheme="majorHAnsi" w:hAnsiTheme="majorHAnsi" w:cstheme="minorHAnsi"/>
                <w:lang w:val="ro-RO"/>
              </w:rPr>
            </w:pPr>
            <w:r w:rsidRPr="008352C7">
              <w:rPr>
                <w:rFonts w:asciiTheme="majorHAnsi" w:hAnsiTheme="majorHAnsi" w:cstheme="minorHAnsi"/>
                <w:lang w:val="ro-RO"/>
              </w:rPr>
              <w:t>Această iniţiativă ar putea fi acceptată cu luarea concomitentă în calcul a următoarelor circumstanţe:</w:t>
            </w:r>
          </w:p>
          <w:p w:rsidR="00804ABC" w:rsidRPr="008352C7" w:rsidRDefault="00B015DE" w:rsidP="009D7B16">
            <w:pPr>
              <w:pStyle w:val="a2"/>
              <w:numPr>
                <w:ilvl w:val="0"/>
                <w:numId w:val="7"/>
              </w:numPr>
              <w:spacing w:before="120" w:after="120" w:line="240" w:lineRule="atLeast"/>
              <w:rPr>
                <w:rFonts w:asciiTheme="majorHAnsi" w:hAnsiTheme="majorHAnsi" w:cstheme="minorHAnsi"/>
                <w:b/>
                <w:lang w:val="ro-RO"/>
              </w:rPr>
            </w:pPr>
            <w:r w:rsidRPr="008352C7">
              <w:rPr>
                <w:rFonts w:asciiTheme="majorHAnsi" w:hAnsiTheme="majorHAnsi" w:cstheme="minorHAnsi"/>
                <w:lang w:val="ro-RO"/>
              </w:rPr>
              <w:t>legislaţia preţurilor de transfer din Moldova să corespundă întocmai Liniilor directoare a OCDE;</w:t>
            </w:r>
          </w:p>
          <w:p w:rsidR="00804ABC" w:rsidRPr="008352C7" w:rsidRDefault="00B015DE" w:rsidP="009D7B16">
            <w:pPr>
              <w:pStyle w:val="a2"/>
              <w:numPr>
                <w:ilvl w:val="0"/>
                <w:numId w:val="7"/>
              </w:numPr>
              <w:spacing w:before="120" w:after="120" w:line="240" w:lineRule="atLeast"/>
              <w:rPr>
                <w:rFonts w:asciiTheme="majorHAnsi" w:hAnsiTheme="majorHAnsi" w:cstheme="minorHAnsi"/>
                <w:b/>
                <w:lang w:val="ro-RO"/>
              </w:rPr>
            </w:pPr>
            <w:r w:rsidRPr="008352C7">
              <w:rPr>
                <w:rFonts w:asciiTheme="majorHAnsi" w:hAnsiTheme="majorHAnsi" w:cstheme="minorHAnsi"/>
                <w:lang w:val="ro-RO"/>
              </w:rPr>
              <w:t xml:space="preserve">subiectul dat urmează a fi mediatizat şi popularizat atât pentru contribuabilii, cît şi pentru autorităţile fiscale, </w:t>
            </w:r>
            <w:r w:rsidRPr="008352C7">
              <w:rPr>
                <w:rFonts w:asciiTheme="majorHAnsi" w:hAnsiTheme="majorHAnsi" w:cstheme="minorHAnsi"/>
                <w:u w:val="single"/>
                <w:lang w:val="ro-RO"/>
              </w:rPr>
              <w:t>iar companiilor să fie asigurată o perioadă de tranziţie, de neaplicare a sancţiunilor fiscale</w:t>
            </w:r>
            <w:r w:rsidRPr="008352C7">
              <w:rPr>
                <w:rFonts w:asciiTheme="majorHAnsi" w:hAnsiTheme="majorHAnsi" w:cstheme="minorHAnsi"/>
                <w:lang w:val="ro-RO"/>
              </w:rPr>
              <w:t>;</w:t>
            </w:r>
          </w:p>
          <w:p w:rsidR="00C81E91" w:rsidRPr="008352C7" w:rsidRDefault="00B015DE" w:rsidP="00C81E91">
            <w:pPr>
              <w:pStyle w:val="af6"/>
              <w:numPr>
                <w:ilvl w:val="0"/>
                <w:numId w:val="7"/>
              </w:numPr>
              <w:tabs>
                <w:tab w:val="left" w:pos="1080"/>
              </w:tabs>
              <w:spacing w:before="120" w:after="120" w:line="240" w:lineRule="atLeast"/>
              <w:rPr>
                <w:rFonts w:asciiTheme="majorHAnsi" w:eastAsia="Times New Roman" w:hAnsiTheme="majorHAnsi" w:cstheme="minorHAnsi"/>
                <w:u w:val="single"/>
                <w:lang w:val="ro-RO" w:eastAsia="ru-RU"/>
              </w:rPr>
            </w:pPr>
            <w:r w:rsidRPr="008352C7">
              <w:rPr>
                <w:rFonts w:asciiTheme="majorHAnsi" w:hAnsiTheme="majorHAnsi" w:cstheme="minorHAnsi"/>
                <w:lang w:val="ro-RO"/>
              </w:rPr>
              <w:t xml:space="preserve">odată cu implementarea legislaţiei preţurilor de transfer să fie introduse prevederi referitoare </w:t>
            </w:r>
            <w:r w:rsidRPr="008352C7">
              <w:rPr>
                <w:rFonts w:asciiTheme="majorHAnsi" w:hAnsiTheme="majorHAnsi" w:cstheme="minorHAnsi"/>
                <w:u w:val="single"/>
                <w:lang w:val="ro-RO"/>
              </w:rPr>
              <w:t>la consolidarea fiscală a companiilor rezidente interdependente</w:t>
            </w:r>
            <w:r w:rsidRPr="008352C7">
              <w:rPr>
                <w:rFonts w:asciiTheme="majorHAnsi" w:hAnsiTheme="majorHAnsi" w:cstheme="minorHAnsi"/>
                <w:lang w:val="ro-RO"/>
              </w:rPr>
              <w:t xml:space="preserve"> (similar experienţei din Federaţia Rusă). Astfel, se va elimina necesitatea documentării tranzacţiilor între companiile rezidente interdependente şi contribuabilii nu vor fi motivaţi să majoreze sau diminueze preţul acestor tranzacţii</w:t>
            </w:r>
            <w:r w:rsidR="00C81E91" w:rsidRPr="008352C7">
              <w:rPr>
                <w:rFonts w:asciiTheme="majorHAnsi" w:hAnsiTheme="majorHAnsi" w:cstheme="minorHAnsi"/>
                <w:lang w:val="ro-RO"/>
              </w:rPr>
              <w:t>;</w:t>
            </w:r>
          </w:p>
          <w:p w:rsidR="00C81E91" w:rsidRPr="008352C7" w:rsidRDefault="00EA4574" w:rsidP="00C81E91">
            <w:pPr>
              <w:pStyle w:val="af6"/>
              <w:numPr>
                <w:ilvl w:val="0"/>
                <w:numId w:val="7"/>
              </w:numPr>
              <w:tabs>
                <w:tab w:val="left" w:pos="1080"/>
              </w:tabs>
              <w:spacing w:before="120" w:after="120" w:line="240" w:lineRule="atLeast"/>
              <w:rPr>
                <w:rFonts w:asciiTheme="majorHAnsi" w:eastAsia="Times New Roman" w:hAnsiTheme="majorHAnsi" w:cstheme="minorHAnsi"/>
                <w:lang w:val="ro-RO" w:eastAsia="ru-RU"/>
              </w:rPr>
            </w:pPr>
            <w:r>
              <w:rPr>
                <w:rFonts w:asciiTheme="majorHAnsi" w:eastAsia="Times New Roman" w:hAnsiTheme="majorHAnsi" w:cstheme="minorHAnsi"/>
                <w:lang w:val="ro-RO" w:eastAsia="ru-RU"/>
              </w:rPr>
              <w:t xml:space="preserve">publicarea în Monitorul Oficial a proiectului de Lege privind modificarea legislaţiei fiscale </w:t>
            </w:r>
            <w:r w:rsidR="00C81E91" w:rsidRPr="008352C7">
              <w:rPr>
                <w:rFonts w:asciiTheme="majorHAnsi" w:eastAsia="Times New Roman" w:hAnsiTheme="majorHAnsi" w:cstheme="minorHAnsi"/>
                <w:lang w:val="ro-RO" w:eastAsia="ru-RU"/>
              </w:rPr>
              <w:t xml:space="preserve">cu cel puţin 6 luni înainte de intrarea în vigoare a </w:t>
            </w:r>
            <w:r>
              <w:rPr>
                <w:rFonts w:asciiTheme="majorHAnsi" w:eastAsia="Times New Roman" w:hAnsiTheme="majorHAnsi" w:cstheme="minorHAnsi"/>
                <w:lang w:val="ro-RO" w:eastAsia="ru-RU"/>
              </w:rPr>
              <w:t>modificărilor referitoare la preţurile de transfer</w:t>
            </w:r>
            <w:r w:rsidR="00927674">
              <w:rPr>
                <w:rFonts w:asciiTheme="majorHAnsi" w:eastAsia="Times New Roman" w:hAnsiTheme="majorHAnsi" w:cstheme="minorHAnsi"/>
                <w:lang w:val="ro-RO" w:eastAsia="ru-RU"/>
              </w:rPr>
              <w:t>, astfel ca mediul de afaceri să facă cunoştinţă din timp cu privire la noile reglementări</w:t>
            </w:r>
            <w:r w:rsidR="00C81E91" w:rsidRPr="008352C7">
              <w:rPr>
                <w:rFonts w:asciiTheme="majorHAnsi" w:eastAsia="Times New Roman" w:hAnsiTheme="majorHAnsi" w:cstheme="minorHAnsi"/>
                <w:lang w:val="ro-RO" w:eastAsia="ru-RU"/>
              </w:rPr>
              <w:t>;</w:t>
            </w:r>
          </w:p>
          <w:p w:rsidR="00C81E91" w:rsidRPr="008352C7" w:rsidRDefault="000A4B34" w:rsidP="000A4B34">
            <w:pPr>
              <w:pStyle w:val="af6"/>
              <w:numPr>
                <w:ilvl w:val="0"/>
                <w:numId w:val="7"/>
              </w:numPr>
              <w:tabs>
                <w:tab w:val="left" w:pos="1080"/>
              </w:tabs>
              <w:spacing w:before="120" w:after="120" w:line="240" w:lineRule="atLeast"/>
              <w:rPr>
                <w:rFonts w:asciiTheme="majorHAnsi" w:eastAsia="Times New Roman" w:hAnsiTheme="majorHAnsi" w:cstheme="minorHAnsi"/>
                <w:u w:val="single"/>
                <w:lang w:val="ro-RO" w:eastAsia="ru-RU"/>
              </w:rPr>
            </w:pPr>
            <w:r>
              <w:rPr>
                <w:rFonts w:asciiTheme="majorHAnsi" w:eastAsia="Times New Roman" w:hAnsiTheme="majorHAnsi" w:cstheme="minorHAnsi"/>
                <w:lang w:val="ro-RO" w:eastAsia="ru-RU"/>
              </w:rPr>
              <w:t>instruirea inspectorilor fiscali care vor fi responsabili de revizuirea dosarelor preţurilor de transfer</w:t>
            </w:r>
            <w:r w:rsidR="00C81E91" w:rsidRPr="008352C7">
              <w:rPr>
                <w:rFonts w:asciiTheme="majorHAnsi" w:eastAsia="Times New Roman" w:hAnsiTheme="majorHAnsi" w:cstheme="minorHAnsi"/>
                <w:lang w:val="ro-RO" w:eastAsia="ru-RU"/>
              </w:rPr>
              <w:t>.</w:t>
            </w:r>
          </w:p>
        </w:tc>
      </w:tr>
      <w:tr w:rsidR="006D30BB" w:rsidRPr="001B1C1C" w:rsidTr="004E7078">
        <w:tc>
          <w:tcPr>
            <w:tcW w:w="360" w:type="dxa"/>
          </w:tcPr>
          <w:p w:rsidR="006D30BB" w:rsidRPr="001B1C1C" w:rsidRDefault="00C81E91" w:rsidP="009D7B16">
            <w:pPr>
              <w:tabs>
                <w:tab w:val="left" w:pos="1080"/>
              </w:tabs>
              <w:spacing w:before="120" w:after="120" w:line="240" w:lineRule="atLeast"/>
              <w:rPr>
                <w:rFonts w:asciiTheme="majorHAnsi" w:hAnsiTheme="majorHAnsi" w:cstheme="minorHAnsi"/>
                <w:lang w:val="ro-RO"/>
              </w:rPr>
            </w:pPr>
            <w:r w:rsidRPr="001B1C1C">
              <w:rPr>
                <w:rFonts w:asciiTheme="majorHAnsi" w:hAnsiTheme="majorHAnsi" w:cstheme="minorHAnsi"/>
                <w:lang w:val="ro-RO"/>
              </w:rPr>
              <w:t>3</w:t>
            </w:r>
          </w:p>
        </w:tc>
        <w:tc>
          <w:tcPr>
            <w:tcW w:w="2250" w:type="dxa"/>
          </w:tcPr>
          <w:p w:rsidR="006D30BB" w:rsidRPr="001B1C1C" w:rsidRDefault="00B015DE" w:rsidP="009D7B16">
            <w:pPr>
              <w:tabs>
                <w:tab w:val="left" w:pos="1080"/>
              </w:tabs>
              <w:spacing w:before="120" w:after="120" w:line="240" w:lineRule="atLeast"/>
              <w:rPr>
                <w:rFonts w:asciiTheme="majorHAnsi" w:hAnsiTheme="majorHAnsi" w:cstheme="minorHAnsi"/>
                <w:i/>
                <w:lang w:val="ro-RO"/>
              </w:rPr>
            </w:pPr>
            <w:r w:rsidRPr="001B1C1C">
              <w:rPr>
                <w:rFonts w:asciiTheme="majorHAnsi" w:hAnsiTheme="majorHAnsi" w:cstheme="minorHAnsi"/>
                <w:i/>
                <w:lang w:val="ro-RO"/>
              </w:rPr>
              <w:t xml:space="preserve">Analiza experienţei internaţionale cu referire la facilităţile fiscale privind impozitul pe venit din activitatea de întreprinzător şi impozitele salariale oferite cu scopul </w:t>
            </w:r>
            <w:r w:rsidRPr="001B1C1C">
              <w:rPr>
                <w:rFonts w:asciiTheme="majorHAnsi" w:hAnsiTheme="majorHAnsi" w:cstheme="minorHAnsi"/>
                <w:i/>
                <w:u w:val="single"/>
                <w:lang w:val="ro-RO"/>
              </w:rPr>
              <w:t>stimulării angajării forţei de muncă</w:t>
            </w:r>
          </w:p>
        </w:tc>
        <w:tc>
          <w:tcPr>
            <w:tcW w:w="8820" w:type="dxa"/>
          </w:tcPr>
          <w:p w:rsidR="006D30BB" w:rsidRPr="001B1C1C" w:rsidRDefault="00B015DE" w:rsidP="009D7B16">
            <w:pPr>
              <w:pStyle w:val="a2"/>
              <w:spacing w:before="120" w:after="120" w:line="240" w:lineRule="atLeast"/>
              <w:rPr>
                <w:rFonts w:asciiTheme="majorHAnsi" w:hAnsiTheme="majorHAnsi" w:cstheme="minorHAnsi"/>
                <w:lang w:val="ro-RO"/>
              </w:rPr>
            </w:pPr>
            <w:r w:rsidRPr="001B1C1C">
              <w:rPr>
                <w:rFonts w:asciiTheme="majorHAnsi" w:hAnsiTheme="majorHAnsi" w:cstheme="minorHAnsi"/>
                <w:lang w:val="ro-RO"/>
              </w:rPr>
              <w:t>Recomandăm efectuarea unei astfel de analize a experienţei internaţionale cu referire la facilităţile fiscale privind impozitul pe venit din activitatea de întreprinzător şi impozitele salariale care ar avea drept scop stimularea:</w:t>
            </w:r>
          </w:p>
          <w:p w:rsidR="006D30BB" w:rsidRPr="001B1C1C" w:rsidRDefault="00B015DE" w:rsidP="009D7B16">
            <w:pPr>
              <w:pStyle w:val="a2"/>
              <w:numPr>
                <w:ilvl w:val="0"/>
                <w:numId w:val="43"/>
              </w:numPr>
              <w:spacing w:before="120" w:after="120" w:line="240" w:lineRule="atLeast"/>
              <w:rPr>
                <w:rFonts w:asciiTheme="majorHAnsi" w:hAnsiTheme="majorHAnsi" w:cstheme="minorHAnsi"/>
                <w:lang w:val="ro-RO"/>
              </w:rPr>
            </w:pPr>
            <w:r w:rsidRPr="001B1C1C">
              <w:rPr>
                <w:rFonts w:asciiTheme="majorHAnsi" w:hAnsiTheme="majorHAnsi" w:cstheme="minorHAnsi"/>
                <w:lang w:val="ro-RO"/>
              </w:rPr>
              <w:t>angajării forţei de muncă,</w:t>
            </w:r>
          </w:p>
          <w:p w:rsidR="006D30BB" w:rsidRPr="001B1C1C" w:rsidRDefault="00B015DE" w:rsidP="009D7B16">
            <w:pPr>
              <w:pStyle w:val="a2"/>
              <w:numPr>
                <w:ilvl w:val="0"/>
                <w:numId w:val="43"/>
              </w:numPr>
              <w:spacing w:before="120" w:after="120" w:line="240" w:lineRule="atLeast"/>
              <w:rPr>
                <w:rFonts w:asciiTheme="majorHAnsi" w:hAnsiTheme="majorHAnsi" w:cstheme="minorHAnsi"/>
                <w:lang w:val="ro-RO"/>
              </w:rPr>
            </w:pPr>
            <w:r w:rsidRPr="001B1C1C">
              <w:rPr>
                <w:rFonts w:asciiTheme="majorHAnsi" w:hAnsiTheme="majorHAnsi" w:cstheme="minorHAnsi"/>
                <w:lang w:val="ro-RO"/>
              </w:rPr>
              <w:t>reducerii migraţiei forţei apte de muncă,</w:t>
            </w:r>
          </w:p>
          <w:p w:rsidR="006D30BB" w:rsidRPr="001B1C1C" w:rsidRDefault="00B015DE" w:rsidP="009D7B16">
            <w:pPr>
              <w:pStyle w:val="a2"/>
              <w:numPr>
                <w:ilvl w:val="0"/>
                <w:numId w:val="43"/>
              </w:numPr>
              <w:spacing w:before="120" w:after="120" w:line="240" w:lineRule="atLeast"/>
              <w:rPr>
                <w:rFonts w:asciiTheme="majorHAnsi" w:hAnsiTheme="majorHAnsi" w:cstheme="minorHAnsi"/>
                <w:lang w:val="ro-RO"/>
              </w:rPr>
            </w:pPr>
            <w:r w:rsidRPr="001B1C1C">
              <w:rPr>
                <w:rFonts w:asciiTheme="majorHAnsi" w:hAnsiTheme="majorHAnsi" w:cstheme="minorHAnsi"/>
                <w:lang w:val="ro-RO"/>
              </w:rPr>
              <w:t xml:space="preserve">reducerii costurilor privind acordarea ajutoarelor de şomaj şi </w:t>
            </w:r>
          </w:p>
          <w:p w:rsidR="006D30BB" w:rsidRPr="001B1C1C" w:rsidRDefault="00B015DE" w:rsidP="009D7B16">
            <w:pPr>
              <w:pStyle w:val="a2"/>
              <w:numPr>
                <w:ilvl w:val="0"/>
                <w:numId w:val="43"/>
              </w:numPr>
              <w:spacing w:before="120" w:after="120" w:line="240" w:lineRule="atLeast"/>
              <w:rPr>
                <w:rFonts w:asciiTheme="majorHAnsi" w:hAnsiTheme="majorHAnsi" w:cstheme="minorHAnsi"/>
                <w:lang w:val="ro-RO"/>
              </w:rPr>
            </w:pPr>
            <w:r w:rsidRPr="001B1C1C">
              <w:rPr>
                <w:rFonts w:asciiTheme="majorHAnsi" w:hAnsiTheme="majorHAnsi" w:cstheme="minorHAnsi"/>
                <w:lang w:val="ro-RO"/>
              </w:rPr>
              <w:t>majorării consumului de către persoanele fizice (respectiv, a încasărilor la bugetul public naţional din impozitele indirecte).</w:t>
            </w:r>
          </w:p>
          <w:p w:rsidR="006D30BB" w:rsidRPr="001B1C1C" w:rsidRDefault="00B015DE" w:rsidP="009D7B16">
            <w:pPr>
              <w:pStyle w:val="a2"/>
              <w:spacing w:before="120" w:after="120"/>
              <w:rPr>
                <w:rFonts w:asciiTheme="majorHAnsi" w:hAnsiTheme="majorHAnsi" w:cstheme="minorHAnsi"/>
                <w:lang w:val="ro-RO"/>
              </w:rPr>
            </w:pPr>
            <w:r w:rsidRPr="001B1C1C">
              <w:rPr>
                <w:rFonts w:asciiTheme="majorHAnsi" w:hAnsiTheme="majorHAnsi" w:cstheme="minorHAnsi"/>
                <w:lang w:val="ro-RO"/>
              </w:rPr>
              <w:t>Facilităţile fiscale disponibile în prezent (de ex. art. 24, alin. (16) al Legii pentru punerea în aplicare a titlurilor I şi II ale Codului fiscal) nu îşi îndeplinesc obiectivele propuse, impactul acestora fiind unul nesemnificativ.</w:t>
            </w:r>
          </w:p>
        </w:tc>
      </w:tr>
      <w:tr w:rsidR="00A27EAA" w:rsidRPr="001B1C1C" w:rsidTr="004E7078">
        <w:tc>
          <w:tcPr>
            <w:tcW w:w="360" w:type="dxa"/>
          </w:tcPr>
          <w:p w:rsidR="00A27EAA" w:rsidRPr="001B1C1C" w:rsidRDefault="00C81E91" w:rsidP="009D7B16">
            <w:pPr>
              <w:tabs>
                <w:tab w:val="left" w:pos="1080"/>
              </w:tabs>
              <w:spacing w:before="120" w:after="120" w:line="240" w:lineRule="atLeast"/>
              <w:rPr>
                <w:rFonts w:asciiTheme="majorHAnsi" w:hAnsiTheme="majorHAnsi" w:cstheme="minorHAnsi"/>
                <w:lang w:val="ro-RO"/>
              </w:rPr>
            </w:pPr>
            <w:r w:rsidRPr="001B1C1C">
              <w:rPr>
                <w:rFonts w:asciiTheme="majorHAnsi" w:hAnsiTheme="majorHAnsi" w:cstheme="minorHAnsi"/>
                <w:lang w:val="ro-RO"/>
              </w:rPr>
              <w:t>4</w:t>
            </w:r>
          </w:p>
        </w:tc>
        <w:tc>
          <w:tcPr>
            <w:tcW w:w="2250" w:type="dxa"/>
          </w:tcPr>
          <w:p w:rsidR="00A27EAA" w:rsidRPr="001B1C1C" w:rsidRDefault="00B015DE" w:rsidP="00C81E91">
            <w:pPr>
              <w:tabs>
                <w:tab w:val="left" w:pos="1080"/>
              </w:tabs>
              <w:spacing w:before="120" w:after="120" w:line="240" w:lineRule="atLeast"/>
              <w:rPr>
                <w:rFonts w:asciiTheme="majorHAnsi" w:hAnsiTheme="majorHAnsi" w:cstheme="minorHAnsi"/>
                <w:lang w:val="ro-RO"/>
              </w:rPr>
            </w:pPr>
            <w:r w:rsidRPr="001B1C1C">
              <w:rPr>
                <w:rFonts w:asciiTheme="majorHAnsi" w:hAnsiTheme="majorHAnsi" w:cstheme="minorHAnsi"/>
                <w:lang w:val="ro-RO"/>
              </w:rPr>
              <w:t xml:space="preserve">Examinarea </w:t>
            </w:r>
            <w:r w:rsidR="00C81E91" w:rsidRPr="001B1C1C">
              <w:rPr>
                <w:rFonts w:asciiTheme="majorHAnsi" w:hAnsiTheme="majorHAnsi" w:cstheme="minorHAnsi"/>
                <w:lang w:val="ro-RO"/>
              </w:rPr>
              <w:t>posibil</w:t>
            </w:r>
            <w:r w:rsidRPr="001B1C1C">
              <w:rPr>
                <w:rFonts w:asciiTheme="majorHAnsi" w:hAnsiTheme="majorHAnsi" w:cstheme="minorHAnsi"/>
                <w:lang w:val="ro-RO"/>
              </w:rPr>
              <w:t>ităţii simplificării modului de ţinere a evidenţei mijloacelor fixe pentru scopurile fiscale</w:t>
            </w:r>
          </w:p>
        </w:tc>
        <w:tc>
          <w:tcPr>
            <w:tcW w:w="8820" w:type="dxa"/>
          </w:tcPr>
          <w:p w:rsidR="003228B3" w:rsidRPr="001B1C1C" w:rsidRDefault="00C81E91" w:rsidP="003228B3">
            <w:pPr>
              <w:tabs>
                <w:tab w:val="center" w:pos="4536"/>
                <w:tab w:val="right" w:pos="9866"/>
              </w:tabs>
              <w:spacing w:before="120" w:after="120" w:line="240" w:lineRule="atLeast"/>
              <w:rPr>
                <w:rFonts w:asciiTheme="majorHAnsi" w:hAnsiTheme="majorHAnsi" w:cstheme="minorHAnsi"/>
                <w:color w:val="000000"/>
                <w:lang w:val="ro-RO"/>
              </w:rPr>
            </w:pPr>
            <w:r w:rsidRPr="001B1C1C">
              <w:rPr>
                <w:rFonts w:asciiTheme="majorHAnsi" w:eastAsia="Times New Roman" w:hAnsiTheme="majorHAnsi" w:cstheme="minorHAnsi"/>
                <w:color w:val="000000"/>
                <w:lang w:val="ro-RO"/>
              </w:rPr>
              <w:t>Propun</w:t>
            </w:r>
            <w:r w:rsidR="009C5BBE">
              <w:rPr>
                <w:rFonts w:asciiTheme="majorHAnsi" w:eastAsia="Times New Roman" w:hAnsiTheme="majorHAnsi" w:cstheme="minorHAnsi"/>
                <w:color w:val="000000"/>
                <w:lang w:val="ro-RO"/>
              </w:rPr>
              <w:t>em includerea</w:t>
            </w:r>
            <w:r w:rsidRPr="001B1C1C">
              <w:rPr>
                <w:rFonts w:asciiTheme="majorHAnsi" w:eastAsia="Times New Roman" w:hAnsiTheme="majorHAnsi" w:cstheme="minorHAnsi"/>
                <w:color w:val="000000"/>
                <w:lang w:val="ro-RO"/>
              </w:rPr>
              <w:t xml:space="preserve"> în </w:t>
            </w:r>
            <w:r w:rsidR="00B015DE" w:rsidRPr="001B1C1C">
              <w:rPr>
                <w:rFonts w:asciiTheme="majorHAnsi" w:eastAsia="Times New Roman" w:hAnsiTheme="majorHAnsi" w:cstheme="minorHAnsi"/>
                <w:color w:val="000000"/>
                <w:lang w:val="ro-RO"/>
              </w:rPr>
              <w:t>Obiectivele po</w:t>
            </w:r>
            <w:r w:rsidR="003228B3" w:rsidRPr="001B1C1C">
              <w:rPr>
                <w:rFonts w:asciiTheme="majorHAnsi" w:eastAsia="Times New Roman" w:hAnsiTheme="majorHAnsi" w:cstheme="minorHAnsi"/>
                <w:color w:val="000000"/>
                <w:lang w:val="ro-RO"/>
              </w:rPr>
              <w:t>liticii fiscale pentru anii 2013-2015</w:t>
            </w:r>
            <w:r w:rsidR="00B015DE" w:rsidRPr="001B1C1C">
              <w:rPr>
                <w:rFonts w:asciiTheme="majorHAnsi" w:eastAsia="Times New Roman" w:hAnsiTheme="majorHAnsi" w:cstheme="minorHAnsi"/>
                <w:color w:val="000000"/>
                <w:lang w:val="ro-RO"/>
              </w:rPr>
              <w:t xml:space="preserve"> </w:t>
            </w:r>
            <w:r w:rsidRPr="001B1C1C">
              <w:rPr>
                <w:rFonts w:asciiTheme="majorHAnsi" w:eastAsia="Times New Roman" w:hAnsiTheme="majorHAnsi" w:cstheme="minorHAnsi"/>
                <w:color w:val="000000"/>
                <w:lang w:val="ro-RO"/>
              </w:rPr>
              <w:t>simplifica</w:t>
            </w:r>
            <w:r w:rsidR="009C5BBE">
              <w:rPr>
                <w:rFonts w:asciiTheme="majorHAnsi" w:eastAsia="Times New Roman" w:hAnsiTheme="majorHAnsi" w:cstheme="minorHAnsi"/>
                <w:color w:val="000000"/>
                <w:lang w:val="ro-RO"/>
              </w:rPr>
              <w:t>rea</w:t>
            </w:r>
            <w:r w:rsidRPr="001B1C1C">
              <w:rPr>
                <w:rFonts w:asciiTheme="majorHAnsi" w:eastAsia="Times New Roman" w:hAnsiTheme="majorHAnsi" w:cstheme="minorHAnsi"/>
                <w:color w:val="000000"/>
                <w:lang w:val="ro-RO"/>
              </w:rPr>
              <w:t xml:space="preserve"> modul</w:t>
            </w:r>
            <w:r w:rsidR="009C5BBE">
              <w:rPr>
                <w:rFonts w:asciiTheme="majorHAnsi" w:eastAsia="Times New Roman" w:hAnsiTheme="majorHAnsi" w:cstheme="minorHAnsi"/>
                <w:color w:val="000000"/>
                <w:lang w:val="ro-RO"/>
              </w:rPr>
              <w:t>ui</w:t>
            </w:r>
            <w:r w:rsidR="00B015DE" w:rsidRPr="001B1C1C">
              <w:rPr>
                <w:rFonts w:asciiTheme="majorHAnsi" w:eastAsia="Times New Roman" w:hAnsiTheme="majorHAnsi" w:cstheme="minorHAnsi"/>
                <w:color w:val="000000"/>
                <w:lang w:val="ro-RO"/>
              </w:rPr>
              <w:t xml:space="preserve"> de ţinere a evidenţei mijloacelor fixe pentru scopurile fiscale</w:t>
            </w:r>
            <w:r w:rsidR="009C5BBE">
              <w:rPr>
                <w:rFonts w:asciiTheme="majorHAnsi" w:eastAsia="Times New Roman" w:hAnsiTheme="majorHAnsi" w:cstheme="minorHAnsi"/>
                <w:color w:val="000000"/>
                <w:lang w:val="ro-RO"/>
              </w:rPr>
              <w:t>,</w:t>
            </w:r>
            <w:r w:rsidR="003228B3" w:rsidRPr="001B1C1C">
              <w:rPr>
                <w:rFonts w:asciiTheme="majorHAnsi" w:eastAsia="Times New Roman" w:hAnsiTheme="majorHAnsi" w:cstheme="minorHAnsi"/>
                <w:color w:val="000000"/>
                <w:lang w:val="ro-RO"/>
              </w:rPr>
              <w:t xml:space="preserve"> </w:t>
            </w:r>
            <w:proofErr w:type="spellStart"/>
            <w:r w:rsidR="003228B3" w:rsidRPr="001B1C1C">
              <w:rPr>
                <w:rFonts w:asciiTheme="majorHAnsi" w:eastAsia="Times New Roman" w:hAnsiTheme="majorHAnsi" w:cstheme="minorHAnsi"/>
                <w:color w:val="000000"/>
                <w:lang w:val="ro-RO"/>
              </w:rPr>
              <w:t>întrucît</w:t>
            </w:r>
            <w:proofErr w:type="spellEnd"/>
            <w:r w:rsidR="003228B3" w:rsidRPr="001B1C1C">
              <w:rPr>
                <w:rFonts w:asciiTheme="majorHAnsi" w:eastAsia="Times New Roman" w:hAnsiTheme="majorHAnsi" w:cstheme="minorHAnsi"/>
                <w:color w:val="000000"/>
                <w:lang w:val="ro-RO"/>
              </w:rPr>
              <w:t xml:space="preserve"> regulile de </w:t>
            </w:r>
            <w:r w:rsidR="00B015DE" w:rsidRPr="001B1C1C">
              <w:rPr>
                <w:rFonts w:asciiTheme="majorHAnsi" w:hAnsiTheme="majorHAnsi" w:cstheme="minorHAnsi"/>
                <w:color w:val="000000"/>
                <w:lang w:val="ro-RO"/>
              </w:rPr>
              <w:t xml:space="preserve">ţinere a evidenţei mijloacelor fixe în scopuri fiscale </w:t>
            </w:r>
            <w:r w:rsidR="003228B3" w:rsidRPr="001B1C1C">
              <w:rPr>
                <w:rFonts w:asciiTheme="majorHAnsi" w:hAnsiTheme="majorHAnsi" w:cstheme="minorHAnsi"/>
                <w:color w:val="000000"/>
                <w:lang w:val="ro-RO"/>
              </w:rPr>
              <w:t>aplicabile în prezent sunt foarte anevoioase şi generează costuri suplimentare companiilor.</w:t>
            </w:r>
          </w:p>
          <w:p w:rsidR="00707B4A" w:rsidRPr="001B1C1C" w:rsidRDefault="003228B3" w:rsidP="009D7B16">
            <w:pPr>
              <w:spacing w:before="120" w:after="120" w:line="240" w:lineRule="atLeast"/>
              <w:rPr>
                <w:rFonts w:asciiTheme="majorHAnsi" w:hAnsiTheme="majorHAnsi" w:cstheme="minorHAnsi"/>
                <w:color w:val="000000"/>
                <w:lang w:val="ro-RO"/>
              </w:rPr>
            </w:pPr>
            <w:r w:rsidRPr="001B1C1C">
              <w:rPr>
                <w:rFonts w:asciiTheme="majorHAnsi" w:hAnsiTheme="majorHAnsi" w:cstheme="minorHAnsi"/>
                <w:color w:val="000000"/>
                <w:lang w:val="ro-RO"/>
              </w:rPr>
              <w:t xml:space="preserve">Implementarea acestei măsuri de simplificare a </w:t>
            </w:r>
            <w:r w:rsidR="00B015DE" w:rsidRPr="001B1C1C">
              <w:rPr>
                <w:rFonts w:asciiTheme="majorHAnsi" w:hAnsiTheme="majorHAnsi" w:cstheme="minorHAnsi"/>
                <w:color w:val="000000"/>
                <w:lang w:val="ro-RO"/>
              </w:rPr>
              <w:t xml:space="preserve">modalităţii de ţinere a evidenţei mijloacelor fixe în scopuri fiscale va </w:t>
            </w:r>
            <w:r w:rsidRPr="001B1C1C">
              <w:rPr>
                <w:rFonts w:asciiTheme="majorHAnsi" w:hAnsiTheme="majorHAnsi" w:cstheme="minorHAnsi"/>
                <w:color w:val="000000"/>
                <w:lang w:val="ro-RO"/>
              </w:rPr>
              <w:t xml:space="preserve">contribui la reducerea poverii administrative </w:t>
            </w:r>
            <w:r w:rsidR="00707B4A" w:rsidRPr="001B1C1C">
              <w:rPr>
                <w:rFonts w:asciiTheme="majorHAnsi" w:hAnsiTheme="majorHAnsi" w:cstheme="minorHAnsi"/>
                <w:color w:val="000000"/>
                <w:lang w:val="ro-RO"/>
              </w:rPr>
              <w:t xml:space="preserve">a contribuabililor generate de </w:t>
            </w:r>
            <w:r w:rsidR="00B015DE" w:rsidRPr="001B1C1C">
              <w:rPr>
                <w:rFonts w:asciiTheme="majorHAnsi" w:hAnsiTheme="majorHAnsi" w:cstheme="minorHAnsi"/>
                <w:color w:val="000000"/>
                <w:lang w:val="ro-RO"/>
              </w:rPr>
              <w:t xml:space="preserve">întocmirea </w:t>
            </w:r>
            <w:r w:rsidR="00BF45DE">
              <w:rPr>
                <w:rFonts w:asciiTheme="majorHAnsi" w:hAnsiTheme="majorHAnsi" w:cstheme="minorHAnsi"/>
                <w:color w:val="000000"/>
                <w:lang w:val="ro-RO"/>
              </w:rPr>
              <w:t xml:space="preserve">Registrului </w:t>
            </w:r>
            <w:r w:rsidR="00BF45DE" w:rsidRPr="00BF45DE">
              <w:rPr>
                <w:rFonts w:asciiTheme="majorHAnsi" w:hAnsiTheme="majorHAnsi" w:cstheme="minorHAnsi"/>
                <w:color w:val="000000"/>
                <w:lang w:val="ro-RO"/>
              </w:rPr>
              <w:t xml:space="preserve">de evidenţă a mijloacelor fixe pe categorii de proprietate şi a uzurii </w:t>
            </w:r>
            <w:r w:rsidR="00BF45DE" w:rsidRPr="00BF45DE">
              <w:rPr>
                <w:rFonts w:asciiTheme="majorHAnsi" w:hAnsiTheme="majorHAnsi" w:cstheme="minorHAnsi"/>
                <w:color w:val="000000"/>
                <w:lang w:val="ro-RO"/>
              </w:rPr>
              <w:lastRenderedPageBreak/>
              <w:t>acestora în scopuri fiscale</w:t>
            </w:r>
            <w:r w:rsidR="00707B4A" w:rsidRPr="001B1C1C">
              <w:rPr>
                <w:rFonts w:asciiTheme="majorHAnsi" w:hAnsiTheme="majorHAnsi" w:cstheme="minorHAnsi"/>
                <w:color w:val="000000"/>
                <w:lang w:val="ro-RO"/>
              </w:rPr>
              <w:t>.</w:t>
            </w:r>
          </w:p>
          <w:p w:rsidR="00A27EAA" w:rsidRPr="001B1C1C" w:rsidRDefault="00707B4A" w:rsidP="009D7B16">
            <w:pPr>
              <w:spacing w:before="120" w:after="120" w:line="240" w:lineRule="atLeast"/>
              <w:rPr>
                <w:rFonts w:asciiTheme="majorHAnsi" w:hAnsiTheme="majorHAnsi" w:cstheme="minorHAnsi"/>
                <w:color w:val="000000"/>
                <w:lang w:val="ro-RO"/>
              </w:rPr>
            </w:pPr>
            <w:r w:rsidRPr="001B1C1C">
              <w:rPr>
                <w:rFonts w:asciiTheme="majorHAnsi" w:hAnsiTheme="majorHAnsi" w:cstheme="minorHAnsi"/>
                <w:color w:val="000000"/>
                <w:lang w:val="ro-RO"/>
              </w:rPr>
              <w:t>În acest context, EBA sugerează examinarea oportunităţii următoarelor opţiuni</w:t>
            </w:r>
            <w:r w:rsidR="00B015DE" w:rsidRPr="001B1C1C">
              <w:rPr>
                <w:rFonts w:asciiTheme="majorHAnsi" w:hAnsiTheme="majorHAnsi" w:cstheme="minorHAnsi"/>
                <w:color w:val="000000"/>
                <w:lang w:val="ro-RO"/>
              </w:rPr>
              <w:t>:</w:t>
            </w:r>
          </w:p>
          <w:p w:rsidR="002663C1" w:rsidRPr="002663C1" w:rsidRDefault="002663C1" w:rsidP="002663C1">
            <w:pPr>
              <w:widowControl w:val="0"/>
              <w:numPr>
                <w:ilvl w:val="0"/>
                <w:numId w:val="27"/>
              </w:numPr>
              <w:autoSpaceDE w:val="0"/>
              <w:autoSpaceDN w:val="0"/>
              <w:adjustRightInd w:val="0"/>
              <w:spacing w:before="120" w:after="120"/>
              <w:rPr>
                <w:rFonts w:asciiTheme="majorHAnsi" w:hAnsiTheme="majorHAnsi" w:cstheme="minorHAnsi"/>
                <w:lang w:val="ro-RO"/>
              </w:rPr>
            </w:pPr>
            <w:r w:rsidRPr="002663C1">
              <w:rPr>
                <w:rFonts w:asciiTheme="majorHAnsi" w:hAnsiTheme="majorHAnsi" w:cstheme="minorHAnsi"/>
                <w:lang w:val="ro-RO"/>
              </w:rPr>
              <w:t>Implementarea de către Ministerul Finan</w:t>
            </w:r>
            <w:r w:rsidRPr="002663C1">
              <w:rPr>
                <w:rFonts w:ascii="Cambria Math" w:hAnsi="Cambria Math" w:cs="Cambria Math"/>
                <w:lang w:val="ro-RO"/>
              </w:rPr>
              <w:t>ț</w:t>
            </w:r>
            <w:r w:rsidRPr="002663C1">
              <w:rPr>
                <w:rFonts w:asciiTheme="majorHAnsi" w:hAnsiTheme="majorHAnsi" w:cstheme="minorHAnsi"/>
                <w:lang w:val="ro-RO"/>
              </w:rPr>
              <w:t>elor a unei modalită</w:t>
            </w:r>
            <w:r w:rsidRPr="002663C1">
              <w:rPr>
                <w:rFonts w:ascii="Cambria Math" w:hAnsi="Cambria Math" w:cs="Cambria Math"/>
                <w:lang w:val="ro-RO"/>
              </w:rPr>
              <w:t>ț</w:t>
            </w:r>
            <w:r w:rsidRPr="002663C1">
              <w:rPr>
                <w:rFonts w:cs="Georgia"/>
                <w:lang w:val="ro-RO"/>
              </w:rPr>
              <w:t>i simplificate de calculare a uzurii mijloacelor f</w:t>
            </w:r>
            <w:r w:rsidRPr="002663C1">
              <w:rPr>
                <w:rFonts w:asciiTheme="majorHAnsi" w:hAnsiTheme="majorHAnsi" w:cstheme="minorHAnsi"/>
                <w:lang w:val="ro-RO"/>
              </w:rPr>
              <w:t xml:space="preserve">ixe, deducerii cheltuielilor cu reparaţii ale acestora, precum şi recunoaşterii rezultatelor de înstrăinare. </w:t>
            </w:r>
          </w:p>
          <w:p w:rsidR="002663C1" w:rsidRPr="002663C1" w:rsidRDefault="002663C1" w:rsidP="002663C1">
            <w:pPr>
              <w:widowControl w:val="0"/>
              <w:autoSpaceDE w:val="0"/>
              <w:autoSpaceDN w:val="0"/>
              <w:adjustRightInd w:val="0"/>
              <w:spacing w:before="120" w:after="120"/>
              <w:ind w:left="720"/>
              <w:rPr>
                <w:rFonts w:asciiTheme="majorHAnsi" w:hAnsiTheme="majorHAnsi" w:cstheme="minorHAnsi"/>
                <w:lang w:val="ro-RO"/>
              </w:rPr>
            </w:pPr>
            <w:r w:rsidRPr="002663C1">
              <w:rPr>
                <w:rFonts w:asciiTheme="majorHAnsi" w:hAnsiTheme="majorHAnsi" w:cstheme="minorHAnsi"/>
                <w:lang w:val="ro-RO"/>
              </w:rPr>
              <w:t>sau</w:t>
            </w:r>
          </w:p>
          <w:p w:rsidR="00A27EAA" w:rsidRPr="001331E0" w:rsidRDefault="002663C1" w:rsidP="002663C1">
            <w:pPr>
              <w:widowControl w:val="0"/>
              <w:numPr>
                <w:ilvl w:val="0"/>
                <w:numId w:val="27"/>
              </w:numPr>
              <w:autoSpaceDE w:val="0"/>
              <w:autoSpaceDN w:val="0"/>
              <w:adjustRightInd w:val="0"/>
              <w:spacing w:before="120" w:after="120" w:line="240" w:lineRule="atLeast"/>
              <w:rPr>
                <w:rFonts w:asciiTheme="majorHAnsi" w:hAnsiTheme="majorHAnsi" w:cstheme="minorHAnsi"/>
                <w:b/>
                <w:u w:val="single"/>
                <w:lang w:val="ro-RO"/>
              </w:rPr>
            </w:pPr>
            <w:r>
              <w:rPr>
                <w:rFonts w:asciiTheme="majorHAnsi" w:hAnsiTheme="majorHAnsi" w:cstheme="minorHAnsi"/>
                <w:lang w:val="ro-RO"/>
              </w:rPr>
              <w:t>E</w:t>
            </w:r>
            <w:r w:rsidRPr="002663C1">
              <w:rPr>
                <w:rFonts w:asciiTheme="majorHAnsi" w:hAnsiTheme="majorHAnsi" w:cstheme="minorHAnsi"/>
                <w:lang w:val="ro-RO"/>
              </w:rPr>
              <w:t>liminare</w:t>
            </w:r>
            <w:r>
              <w:rPr>
                <w:rFonts w:asciiTheme="majorHAnsi" w:hAnsiTheme="majorHAnsi" w:cstheme="minorHAnsi"/>
                <w:lang w:val="ro-RO"/>
              </w:rPr>
              <w:t>a</w:t>
            </w:r>
            <w:r w:rsidRPr="002663C1">
              <w:rPr>
                <w:rFonts w:asciiTheme="majorHAnsi" w:hAnsiTheme="majorHAnsi" w:cstheme="minorHAnsi"/>
                <w:lang w:val="ro-RO"/>
              </w:rPr>
              <w:t xml:space="preserve"> totală a diferenţelor în vederea evidenţei mijloacelor fixe dintre regulile fiscale vs. cele contabile. Astfel, uzura mijloacelor fixe în scopuri fiscale va corespunde cu cea calculată în evidenţa financiară, precum şi tratamentul contabil se va aplica cheltuielilor de reparaţie şi a rezultatelor de înstrăinare.</w:t>
            </w:r>
          </w:p>
        </w:tc>
      </w:tr>
      <w:tr w:rsidR="000469EB" w:rsidRPr="003F4041" w:rsidTr="004E7078">
        <w:tc>
          <w:tcPr>
            <w:tcW w:w="360" w:type="dxa"/>
          </w:tcPr>
          <w:p w:rsidR="000469EB" w:rsidRPr="001B1C1C" w:rsidRDefault="000469EB" w:rsidP="009D7B16">
            <w:pPr>
              <w:tabs>
                <w:tab w:val="left" w:pos="1080"/>
              </w:tabs>
              <w:spacing w:before="120" w:after="120"/>
              <w:rPr>
                <w:rFonts w:asciiTheme="majorHAnsi" w:hAnsiTheme="majorHAnsi" w:cstheme="minorHAnsi"/>
                <w:lang w:val="ro-RO"/>
              </w:rPr>
            </w:pPr>
            <w:r>
              <w:rPr>
                <w:rFonts w:asciiTheme="majorHAnsi" w:hAnsiTheme="majorHAnsi" w:cstheme="minorHAnsi"/>
                <w:lang w:val="ro-RO"/>
              </w:rPr>
              <w:lastRenderedPageBreak/>
              <w:t>5</w:t>
            </w:r>
          </w:p>
        </w:tc>
        <w:tc>
          <w:tcPr>
            <w:tcW w:w="2250" w:type="dxa"/>
          </w:tcPr>
          <w:p w:rsidR="000469EB" w:rsidRPr="001B1C1C" w:rsidRDefault="000469EB" w:rsidP="00C81E91">
            <w:pPr>
              <w:tabs>
                <w:tab w:val="left" w:pos="1080"/>
              </w:tabs>
              <w:spacing w:before="120" w:after="120"/>
              <w:rPr>
                <w:rFonts w:asciiTheme="majorHAnsi" w:hAnsiTheme="majorHAnsi" w:cstheme="minorHAnsi"/>
                <w:lang w:val="ro-RO"/>
              </w:rPr>
            </w:pPr>
            <w:r>
              <w:rPr>
                <w:rFonts w:asciiTheme="majorHAnsi" w:hAnsiTheme="majorHAnsi" w:cstheme="minorHAnsi"/>
                <w:lang w:val="ro-RO"/>
              </w:rPr>
              <w:t>Principiul evitării dublei impuneri aplicabil în legislaţia domestică</w:t>
            </w:r>
          </w:p>
        </w:tc>
        <w:tc>
          <w:tcPr>
            <w:tcW w:w="8820" w:type="dxa"/>
          </w:tcPr>
          <w:p w:rsidR="00E328FF" w:rsidRPr="00E328FF" w:rsidRDefault="00E328FF" w:rsidP="00E328FF">
            <w:pPr>
              <w:shd w:val="clear" w:color="auto" w:fill="FFFFFF"/>
              <w:spacing w:before="120" w:after="120"/>
              <w:rPr>
                <w:rFonts w:asciiTheme="majorHAnsi" w:hAnsiTheme="majorHAnsi" w:cstheme="minorHAnsi"/>
                <w:bCs/>
                <w:spacing w:val="-1"/>
                <w:lang w:val="ro-RO"/>
              </w:rPr>
            </w:pPr>
            <w:r w:rsidRPr="00E328FF">
              <w:rPr>
                <w:rFonts w:asciiTheme="majorHAnsi" w:hAnsiTheme="majorHAnsi" w:cstheme="minorHAnsi"/>
                <w:bCs/>
                <w:spacing w:val="-1"/>
                <w:lang w:val="ro-RO"/>
              </w:rPr>
              <w:t>Considerăm oportună introducerea în Codul fiscal a principiului evitării dublei impuneri. Potrivit conceptelor fiscale internaţionale legate de impozitarea directă, se deosebesc două tipuri de dublă impunere: (i) economică şi (ii) juridică.</w:t>
            </w:r>
          </w:p>
          <w:p w:rsidR="00E328FF" w:rsidRPr="00E328FF" w:rsidRDefault="00E328FF" w:rsidP="00E328FF">
            <w:pPr>
              <w:shd w:val="clear" w:color="auto" w:fill="FFFFFF"/>
              <w:spacing w:before="120" w:after="120"/>
              <w:rPr>
                <w:rFonts w:asciiTheme="majorHAnsi" w:hAnsiTheme="majorHAnsi" w:cstheme="minorHAnsi"/>
                <w:bCs/>
                <w:spacing w:val="-1"/>
                <w:lang w:val="ro-RO"/>
              </w:rPr>
            </w:pPr>
            <w:r w:rsidRPr="00E328FF">
              <w:rPr>
                <w:rFonts w:asciiTheme="majorHAnsi" w:hAnsiTheme="majorHAnsi" w:cstheme="minorHAnsi"/>
                <w:bCs/>
                <w:spacing w:val="-1"/>
                <w:lang w:val="ro-RO"/>
              </w:rPr>
              <w:t>Primul tip de dublă impozitare (i.e. economică) se referă la taxarea aceleiaşi tranzacţii economice, venit sau capital la nivelul diferitor contribuabili. De ex. profitul brut este taxat cu impozit pe venit din activitatea de întreprinzător la nivelul persoanei juridice şi ulterior profitul net este taxat sub formă de venituri din dividende la nivelul acţionarului sau asociatului.</w:t>
            </w:r>
          </w:p>
          <w:p w:rsidR="00E328FF" w:rsidRPr="00E328FF" w:rsidRDefault="00E328FF" w:rsidP="00E328FF">
            <w:pPr>
              <w:shd w:val="clear" w:color="auto" w:fill="FFFFFF"/>
              <w:spacing w:before="120" w:after="120"/>
              <w:rPr>
                <w:rFonts w:asciiTheme="majorHAnsi" w:hAnsiTheme="majorHAnsi" w:cstheme="minorHAnsi"/>
                <w:bCs/>
                <w:spacing w:val="-1"/>
                <w:lang w:val="ro-RO"/>
              </w:rPr>
            </w:pPr>
            <w:r w:rsidRPr="00E328FF">
              <w:rPr>
                <w:rFonts w:asciiTheme="majorHAnsi" w:hAnsiTheme="majorHAnsi" w:cstheme="minorHAnsi"/>
                <w:bCs/>
                <w:spacing w:val="-1"/>
                <w:lang w:val="ro-RO"/>
              </w:rPr>
              <w:t>Dubla impozitare juridică se referă la taxarea aceleiaşi tranzacţii economice, venit sau capital la nivelul aceluiaşi contribuabil cu acelaşi tip de impozit. De ex. o persoană juridică va include în venitul său brut mijloacele fixe obţinute cu titlu gratuit la momentul recepţionării acestor mijloace fixe, iar ulterior uzura acestor mijloace fixe nu va fi deductibilă pentru scopuri fiscale (art. 3 din Hotărîrea Guvernului nr. 289 din 14 martie 2007 privind aprobarea Regulamentului privind evidenţa şi calcularea uzurii mijloacelor fixe în scopuri fiscale). În consecinţă valoarea mijloacelor fixe va fi impozitată de două ori la nivelul aceluiaşi contribuabil.</w:t>
            </w:r>
          </w:p>
          <w:p w:rsidR="00E328FF" w:rsidRPr="00E328FF" w:rsidRDefault="00E328FF" w:rsidP="00E328FF">
            <w:pPr>
              <w:shd w:val="clear" w:color="auto" w:fill="FFFFFF"/>
              <w:spacing w:before="120" w:after="120"/>
              <w:rPr>
                <w:rFonts w:asciiTheme="majorHAnsi" w:hAnsiTheme="majorHAnsi" w:cstheme="minorHAnsi"/>
                <w:bCs/>
                <w:spacing w:val="-1"/>
                <w:lang w:val="ro-RO"/>
              </w:rPr>
            </w:pPr>
            <w:r w:rsidRPr="00E328FF">
              <w:rPr>
                <w:rFonts w:asciiTheme="majorHAnsi" w:hAnsiTheme="majorHAnsi" w:cstheme="minorHAnsi"/>
                <w:bCs/>
                <w:spacing w:val="-1"/>
                <w:lang w:val="ro-RO"/>
              </w:rPr>
              <w:t>Adiţional, principiul evitării dublei impuneri este prevăzut şi de Concepţia reformei fiscale care a stat la baza implementării în Moldova a Codului fiscal în anul 1997 (punctul 4.2, litera b) din Hotărîrea Parlamentului nr. 1165 din 24 aprilie 1997 cu privire la Concepţia reformei fiscale).</w:t>
            </w:r>
          </w:p>
          <w:p w:rsidR="00E328FF" w:rsidRPr="00E328FF" w:rsidRDefault="00E328FF" w:rsidP="00E328FF">
            <w:pPr>
              <w:shd w:val="clear" w:color="auto" w:fill="FFFFFF"/>
              <w:spacing w:before="120" w:after="120"/>
              <w:rPr>
                <w:rFonts w:asciiTheme="majorHAnsi" w:hAnsiTheme="majorHAnsi" w:cstheme="minorHAnsi"/>
                <w:bCs/>
                <w:spacing w:val="-1"/>
                <w:lang w:val="ro-RO"/>
              </w:rPr>
            </w:pPr>
            <w:r w:rsidRPr="00E328FF">
              <w:rPr>
                <w:rFonts w:asciiTheme="majorHAnsi" w:hAnsiTheme="majorHAnsi" w:cstheme="minorHAnsi"/>
                <w:bCs/>
                <w:spacing w:val="-1"/>
                <w:lang w:val="ro-RO"/>
              </w:rPr>
              <w:t>Luând în consideraţie cele menţionate mai sus, precum şi alinierea sistemului de impozitare din Moldova la principiile internaţionale, propunem introducerea principiului evitării dublei impuneri (juridice) la litera f) al art. 6, alin. (8) cu următorul cuprins:</w:t>
            </w:r>
          </w:p>
          <w:p w:rsidR="000469EB" w:rsidRPr="00FE3F05" w:rsidRDefault="00E328FF" w:rsidP="00E328FF">
            <w:pPr>
              <w:shd w:val="clear" w:color="auto" w:fill="FFFFFF"/>
              <w:spacing w:before="120" w:after="120"/>
              <w:rPr>
                <w:rFonts w:asciiTheme="majorHAnsi" w:hAnsiTheme="majorHAnsi" w:cstheme="minorHAnsi"/>
                <w:bCs/>
                <w:spacing w:val="-1"/>
                <w:lang w:val="ro-RO"/>
              </w:rPr>
            </w:pPr>
            <w:r w:rsidRPr="00E328FF">
              <w:rPr>
                <w:rFonts w:asciiTheme="majorHAnsi" w:hAnsiTheme="majorHAnsi" w:cstheme="minorHAnsi"/>
                <w:bCs/>
                <w:spacing w:val="-1"/>
                <w:lang w:val="ro-RO"/>
              </w:rPr>
              <w:t>„f) evitarea dublei impuneri – evitarea impozitării aceleiaşi tranzacţii, venit sau capital la nivelul aceluiaşi contribuabil cu acelaşi tip de impozit sau taxă.”</w:t>
            </w:r>
          </w:p>
        </w:tc>
      </w:tr>
    </w:tbl>
    <w:p w:rsidR="008D40F9" w:rsidRPr="001B1C1C" w:rsidRDefault="008D40F9" w:rsidP="00061ABC">
      <w:pPr>
        <w:tabs>
          <w:tab w:val="left" w:pos="1080"/>
        </w:tabs>
        <w:spacing w:after="0" w:line="240" w:lineRule="auto"/>
        <w:rPr>
          <w:rFonts w:asciiTheme="majorHAnsi" w:hAnsiTheme="majorHAnsi" w:cstheme="minorHAnsi"/>
          <w:lang w:val="ro-RO"/>
        </w:rPr>
      </w:pPr>
    </w:p>
    <w:p w:rsidR="001331E0" w:rsidRDefault="001331E0">
      <w:pPr>
        <w:rPr>
          <w:rFonts w:asciiTheme="majorHAnsi" w:eastAsia="Times New Roman" w:hAnsiTheme="majorHAnsi" w:cstheme="minorHAnsi"/>
          <w:b/>
          <w:lang w:val="ro-RO" w:eastAsia="ru-RU"/>
        </w:rPr>
      </w:pPr>
      <w:r>
        <w:rPr>
          <w:rFonts w:asciiTheme="majorHAnsi" w:eastAsia="Times New Roman" w:hAnsiTheme="majorHAnsi" w:cstheme="minorHAnsi"/>
          <w:b/>
          <w:lang w:val="ro-RO" w:eastAsia="ru-RU"/>
        </w:rPr>
        <w:br w:type="page"/>
      </w:r>
    </w:p>
    <w:p w:rsidR="0082501D" w:rsidRPr="001B1C1C" w:rsidRDefault="0082501D">
      <w:pPr>
        <w:rPr>
          <w:rFonts w:asciiTheme="majorHAnsi" w:eastAsia="Times New Roman" w:hAnsiTheme="majorHAnsi" w:cstheme="minorHAnsi"/>
          <w:b/>
          <w:lang w:val="ro-RO" w:eastAsia="ru-RU"/>
        </w:rPr>
      </w:pPr>
    </w:p>
    <w:p w:rsidR="005D449D" w:rsidRPr="001B1C1C" w:rsidRDefault="005D449D" w:rsidP="005D449D">
      <w:pPr>
        <w:tabs>
          <w:tab w:val="left" w:pos="1080"/>
        </w:tabs>
        <w:spacing w:before="240" w:after="120" w:line="240" w:lineRule="auto"/>
        <w:jc w:val="right"/>
        <w:rPr>
          <w:rFonts w:asciiTheme="majorHAnsi" w:eastAsia="Times New Roman" w:hAnsiTheme="majorHAnsi" w:cstheme="minorHAnsi"/>
          <w:b/>
          <w:lang w:val="ro-RO" w:eastAsia="ru-RU"/>
        </w:rPr>
      </w:pPr>
      <w:r w:rsidRPr="001B1C1C">
        <w:rPr>
          <w:rFonts w:asciiTheme="majorHAnsi" w:eastAsia="Times New Roman" w:hAnsiTheme="majorHAnsi" w:cstheme="minorHAnsi"/>
          <w:b/>
          <w:lang w:val="ro-RO" w:eastAsia="ru-RU"/>
        </w:rPr>
        <w:t>Anexa 2</w:t>
      </w:r>
    </w:p>
    <w:p w:rsidR="00C930B3" w:rsidRPr="001B1C1C" w:rsidRDefault="005D449D" w:rsidP="00354DD9">
      <w:pPr>
        <w:tabs>
          <w:tab w:val="left" w:pos="1080"/>
        </w:tabs>
        <w:spacing w:after="0" w:line="240" w:lineRule="auto"/>
        <w:jc w:val="center"/>
        <w:rPr>
          <w:rFonts w:asciiTheme="majorHAnsi" w:eastAsia="Times New Roman" w:hAnsiTheme="majorHAnsi" w:cstheme="minorHAnsi"/>
          <w:b/>
          <w:lang w:val="ro-RO" w:eastAsia="ru-RU"/>
        </w:rPr>
      </w:pPr>
      <w:r w:rsidRPr="001B1C1C">
        <w:rPr>
          <w:rFonts w:asciiTheme="majorHAnsi" w:eastAsia="Times New Roman" w:hAnsiTheme="majorHAnsi" w:cstheme="minorHAnsi"/>
          <w:b/>
          <w:lang w:val="ro-RO" w:eastAsia="ru-RU"/>
        </w:rPr>
        <w:t xml:space="preserve">Comentarii </w:t>
      </w:r>
      <w:r w:rsidR="009D7B16" w:rsidRPr="001B1C1C">
        <w:rPr>
          <w:rFonts w:asciiTheme="majorHAnsi" w:eastAsia="Times New Roman" w:hAnsiTheme="majorHAnsi" w:cstheme="minorHAnsi"/>
          <w:b/>
          <w:lang w:val="ro-RO" w:eastAsia="ru-RU"/>
        </w:rPr>
        <w:t>ş</w:t>
      </w:r>
      <w:r w:rsidRPr="001B1C1C">
        <w:rPr>
          <w:rFonts w:asciiTheme="majorHAnsi" w:eastAsia="Times New Roman" w:hAnsiTheme="majorHAnsi" w:cstheme="minorHAnsi"/>
          <w:b/>
          <w:lang w:val="ro-RO" w:eastAsia="ru-RU"/>
        </w:rPr>
        <w:t>i Recomandări</w:t>
      </w:r>
    </w:p>
    <w:p w:rsidR="00354DD9" w:rsidRPr="001B1C1C" w:rsidRDefault="00354DD9" w:rsidP="00354DD9">
      <w:pPr>
        <w:tabs>
          <w:tab w:val="left" w:pos="1080"/>
        </w:tabs>
        <w:spacing w:after="0" w:line="240" w:lineRule="auto"/>
        <w:jc w:val="center"/>
        <w:rPr>
          <w:rFonts w:asciiTheme="majorHAnsi" w:eastAsia="Times New Roman" w:hAnsiTheme="majorHAnsi" w:cstheme="minorHAnsi"/>
          <w:b/>
          <w:lang w:val="ro-RO" w:eastAsia="ru-RU"/>
        </w:rPr>
      </w:pPr>
      <w:r w:rsidRPr="001B1C1C">
        <w:rPr>
          <w:rFonts w:asciiTheme="majorHAnsi" w:eastAsia="Times New Roman" w:hAnsiTheme="majorHAnsi" w:cstheme="minorHAnsi"/>
          <w:b/>
          <w:lang w:val="ro-RO" w:eastAsia="ru-RU"/>
        </w:rPr>
        <w:t xml:space="preserve">la </w:t>
      </w:r>
      <w:r w:rsidR="001331E0">
        <w:rPr>
          <w:rFonts w:asciiTheme="majorHAnsi" w:eastAsia="Times New Roman" w:hAnsiTheme="majorHAnsi" w:cstheme="minorHAnsi"/>
          <w:b/>
          <w:lang w:val="ro-RO" w:eastAsia="ru-RU"/>
        </w:rPr>
        <w:t>proiectul de Lege privind modificarea Codului Fiscal</w:t>
      </w:r>
    </w:p>
    <w:p w:rsidR="00354DD9" w:rsidRPr="001B1C1C" w:rsidRDefault="00354DD9" w:rsidP="009016CA">
      <w:pPr>
        <w:tabs>
          <w:tab w:val="left" w:pos="1080"/>
        </w:tabs>
        <w:spacing w:after="0" w:line="240" w:lineRule="auto"/>
        <w:jc w:val="center"/>
        <w:rPr>
          <w:rFonts w:asciiTheme="majorHAnsi" w:eastAsia="Times New Roman" w:hAnsiTheme="majorHAnsi" w:cstheme="minorHAnsi"/>
          <w:b/>
          <w:lang w:val="ro-RO" w:eastAsia="ru-RU"/>
        </w:rPr>
      </w:pPr>
    </w:p>
    <w:p w:rsidR="009016CA" w:rsidRPr="001B1C1C" w:rsidRDefault="009016CA" w:rsidP="009016CA">
      <w:pPr>
        <w:tabs>
          <w:tab w:val="left" w:pos="1080"/>
        </w:tabs>
        <w:spacing w:after="0" w:line="240" w:lineRule="auto"/>
        <w:jc w:val="center"/>
        <w:rPr>
          <w:rFonts w:asciiTheme="majorHAnsi" w:eastAsia="Times New Roman" w:hAnsiTheme="majorHAnsi" w:cstheme="minorHAnsi"/>
          <w:b/>
          <w:lang w:val="ro-RO" w:eastAsia="ru-RU"/>
        </w:rPr>
      </w:pPr>
    </w:p>
    <w:p w:rsidR="009016CA" w:rsidRPr="001B1C1C" w:rsidRDefault="009016CA" w:rsidP="00404348">
      <w:pPr>
        <w:pStyle w:val="af6"/>
        <w:numPr>
          <w:ilvl w:val="0"/>
          <w:numId w:val="35"/>
        </w:numPr>
        <w:spacing w:after="0" w:line="240" w:lineRule="auto"/>
        <w:jc w:val="both"/>
        <w:rPr>
          <w:rFonts w:asciiTheme="majorHAnsi" w:hAnsiTheme="majorHAnsi" w:cstheme="minorHAnsi"/>
          <w:b/>
          <w:i/>
          <w:u w:val="single"/>
          <w:lang w:val="ro-MO"/>
        </w:rPr>
      </w:pPr>
      <w:r w:rsidRPr="001B1C1C">
        <w:rPr>
          <w:rFonts w:asciiTheme="majorHAnsi" w:hAnsiTheme="majorHAnsi" w:cstheme="minorHAnsi"/>
          <w:b/>
          <w:i/>
          <w:u w:val="single"/>
          <w:lang w:val="ro-MO"/>
        </w:rPr>
        <w:t xml:space="preserve">Impozitul pe venitul persoanelor juridice </w:t>
      </w:r>
    </w:p>
    <w:p w:rsidR="009016CA" w:rsidRPr="001B1C1C" w:rsidRDefault="009016CA" w:rsidP="00C41940">
      <w:pPr>
        <w:spacing w:after="0" w:line="240" w:lineRule="auto"/>
        <w:jc w:val="both"/>
        <w:rPr>
          <w:rFonts w:asciiTheme="majorHAnsi" w:hAnsiTheme="majorHAnsi" w:cstheme="minorHAnsi"/>
          <w:lang w:val="ro-RO"/>
        </w:rPr>
      </w:pPr>
    </w:p>
    <w:tbl>
      <w:tblPr>
        <w:tblStyle w:val="af5"/>
        <w:tblW w:w="11520" w:type="dxa"/>
        <w:tblInd w:w="-162" w:type="dxa"/>
        <w:tblLook w:val="04A0"/>
      </w:tblPr>
      <w:tblGrid>
        <w:gridCol w:w="439"/>
        <w:gridCol w:w="2331"/>
        <w:gridCol w:w="8750"/>
      </w:tblGrid>
      <w:tr w:rsidR="00C41940" w:rsidRPr="001B1C1C" w:rsidTr="00395E35">
        <w:tc>
          <w:tcPr>
            <w:tcW w:w="439" w:type="dxa"/>
          </w:tcPr>
          <w:p w:rsidR="00C41940" w:rsidRPr="001B1C1C" w:rsidRDefault="00C41940" w:rsidP="00A40C0B">
            <w:pPr>
              <w:tabs>
                <w:tab w:val="left" w:pos="1080"/>
              </w:tabs>
              <w:spacing w:before="120" w:after="120"/>
              <w:rPr>
                <w:rFonts w:asciiTheme="majorHAnsi" w:hAnsiTheme="majorHAnsi" w:cstheme="minorHAnsi"/>
                <w:lang w:val="ro-RO"/>
              </w:rPr>
            </w:pPr>
          </w:p>
        </w:tc>
        <w:tc>
          <w:tcPr>
            <w:tcW w:w="2331" w:type="dxa"/>
          </w:tcPr>
          <w:p w:rsidR="00C41940" w:rsidRPr="001B1C1C" w:rsidRDefault="00C41940" w:rsidP="00A40C0B">
            <w:pPr>
              <w:pStyle w:val="a2"/>
              <w:spacing w:before="120" w:after="120"/>
              <w:jc w:val="center"/>
              <w:rPr>
                <w:rFonts w:asciiTheme="majorHAnsi" w:hAnsiTheme="majorHAnsi" w:cstheme="minorHAnsi"/>
                <w:b/>
                <w:lang w:val="ro-RO"/>
              </w:rPr>
            </w:pPr>
            <w:r w:rsidRPr="001B1C1C">
              <w:rPr>
                <w:rFonts w:asciiTheme="majorHAnsi" w:hAnsiTheme="majorHAnsi" w:cstheme="minorHAnsi"/>
                <w:b/>
                <w:lang w:val="ro-RO"/>
              </w:rPr>
              <w:t>Concept</w:t>
            </w:r>
          </w:p>
        </w:tc>
        <w:tc>
          <w:tcPr>
            <w:tcW w:w="8750" w:type="dxa"/>
          </w:tcPr>
          <w:p w:rsidR="00C41940" w:rsidRPr="001B1C1C" w:rsidRDefault="00C41940" w:rsidP="00A40C0B">
            <w:pPr>
              <w:pStyle w:val="a2"/>
              <w:spacing w:before="120" w:after="120"/>
              <w:jc w:val="center"/>
              <w:rPr>
                <w:rFonts w:asciiTheme="majorHAnsi" w:hAnsiTheme="majorHAnsi" w:cstheme="minorHAnsi"/>
                <w:b/>
                <w:lang w:val="ro-RO"/>
              </w:rPr>
            </w:pPr>
            <w:r w:rsidRPr="001B1C1C">
              <w:rPr>
                <w:rFonts w:asciiTheme="majorHAnsi" w:hAnsiTheme="majorHAnsi" w:cstheme="minorHAnsi"/>
                <w:b/>
                <w:lang w:val="ro-RO"/>
              </w:rPr>
              <w:t>Comentarii / Recomandări</w:t>
            </w:r>
          </w:p>
        </w:tc>
      </w:tr>
      <w:tr w:rsidR="00DF4E3E" w:rsidRPr="001B1C1C" w:rsidTr="00395E35">
        <w:tc>
          <w:tcPr>
            <w:tcW w:w="439" w:type="dxa"/>
          </w:tcPr>
          <w:p w:rsidR="00DF4E3E" w:rsidRPr="001B1C1C" w:rsidRDefault="00A65472" w:rsidP="00A40C0B">
            <w:pPr>
              <w:tabs>
                <w:tab w:val="left" w:pos="1080"/>
              </w:tabs>
              <w:spacing w:before="120" w:after="120" w:line="240" w:lineRule="atLeast"/>
              <w:rPr>
                <w:rFonts w:asciiTheme="majorHAnsi" w:hAnsiTheme="majorHAnsi" w:cstheme="minorHAnsi"/>
                <w:lang w:val="ro-RO"/>
              </w:rPr>
            </w:pPr>
            <w:r>
              <w:rPr>
                <w:rFonts w:asciiTheme="majorHAnsi" w:hAnsiTheme="majorHAnsi" w:cstheme="minorHAnsi"/>
                <w:lang w:val="ro-RO"/>
              </w:rPr>
              <w:t>1</w:t>
            </w:r>
          </w:p>
        </w:tc>
        <w:tc>
          <w:tcPr>
            <w:tcW w:w="2331" w:type="dxa"/>
          </w:tcPr>
          <w:p w:rsidR="00195370" w:rsidRPr="00195370" w:rsidRDefault="00195370" w:rsidP="00195370">
            <w:pPr>
              <w:tabs>
                <w:tab w:val="left" w:pos="1080"/>
              </w:tabs>
              <w:spacing w:before="120" w:after="120"/>
              <w:rPr>
                <w:rFonts w:asciiTheme="majorHAnsi" w:hAnsiTheme="majorHAnsi" w:cstheme="minorHAnsi"/>
                <w:lang w:val="ro-RO"/>
              </w:rPr>
            </w:pPr>
            <w:r w:rsidRPr="00195370">
              <w:rPr>
                <w:rFonts w:asciiTheme="majorHAnsi" w:hAnsiTheme="majorHAnsi" w:cstheme="minorHAnsi"/>
                <w:lang w:val="ro-RO"/>
              </w:rPr>
              <w:t xml:space="preserve">Articolul 20. Sursele de venit neimpozabile </w:t>
            </w:r>
          </w:p>
          <w:p w:rsidR="002D3B5E" w:rsidRDefault="00195370" w:rsidP="00195370">
            <w:pPr>
              <w:tabs>
                <w:tab w:val="left" w:pos="1080"/>
              </w:tabs>
              <w:spacing w:before="120" w:after="120" w:line="240" w:lineRule="atLeast"/>
              <w:rPr>
                <w:rFonts w:asciiTheme="majorHAnsi" w:hAnsiTheme="majorHAnsi" w:cstheme="minorHAnsi"/>
                <w:lang w:val="ro-RO"/>
              </w:rPr>
            </w:pPr>
            <w:r w:rsidRPr="00195370">
              <w:rPr>
                <w:rFonts w:asciiTheme="majorHAnsi" w:hAnsiTheme="majorHAnsi" w:cstheme="minorHAnsi"/>
                <w:lang w:val="ro-RO"/>
              </w:rPr>
              <w:t>[Lit.p1) a fost exclusă prin Legea nr.267 din 23.12.2011, în vigoare 13.01.2012 se propune a fi reintrodusă]</w:t>
            </w:r>
          </w:p>
          <w:p w:rsidR="002D3B5E" w:rsidRPr="001B1C1C" w:rsidRDefault="002D3B5E" w:rsidP="00A40C0B">
            <w:pPr>
              <w:tabs>
                <w:tab w:val="left" w:pos="1080"/>
              </w:tabs>
              <w:spacing w:before="120" w:after="120" w:line="240" w:lineRule="atLeast"/>
              <w:rPr>
                <w:rFonts w:asciiTheme="majorHAnsi" w:hAnsiTheme="majorHAnsi" w:cstheme="minorHAnsi"/>
                <w:lang w:val="ro-RO"/>
              </w:rPr>
            </w:pPr>
          </w:p>
        </w:tc>
        <w:tc>
          <w:tcPr>
            <w:tcW w:w="8750" w:type="dxa"/>
          </w:tcPr>
          <w:p w:rsidR="00195370" w:rsidRPr="00AB1788" w:rsidRDefault="00195370" w:rsidP="00195370">
            <w:pPr>
              <w:spacing w:before="120" w:after="120"/>
              <w:jc w:val="both"/>
              <w:rPr>
                <w:lang w:val="ro-RO"/>
              </w:rPr>
            </w:pPr>
            <w:r w:rsidRPr="00AB1788">
              <w:rPr>
                <w:lang w:val="ro-RO"/>
              </w:rPr>
              <w:t xml:space="preserve">Recomandăm modificarea art. 20 al Codului fiscal prin reintroducerea unui anumit </w:t>
            </w:r>
            <w:r w:rsidRPr="00AB1788">
              <w:rPr>
                <w:u w:val="single"/>
                <w:lang w:val="ro-RO"/>
              </w:rPr>
              <w:t>plafon minim al fiecărui câştig de la campaniile promoţionale, calificând-ul drept sursă de venit neimpozabil</w:t>
            </w:r>
            <w:r w:rsidRPr="00AB1788">
              <w:rPr>
                <w:lang w:val="ro-RO"/>
              </w:rPr>
              <w:t>, astfel cum a existat în perioada 2006</w:t>
            </w:r>
            <w:r w:rsidRPr="00AB1788">
              <w:rPr>
                <w:rStyle w:val="aff0"/>
                <w:rFonts w:cs="Arial"/>
                <w:lang w:val="ro-RO"/>
              </w:rPr>
              <w:footnoteReference w:id="1"/>
            </w:r>
            <w:r w:rsidRPr="00AB1788">
              <w:rPr>
                <w:lang w:val="ro-RO"/>
              </w:rPr>
              <w:t xml:space="preserve"> – 2011 inclusiv</w:t>
            </w:r>
          </w:p>
          <w:p w:rsidR="00195370" w:rsidRPr="00AB1788" w:rsidRDefault="00195370" w:rsidP="00195370">
            <w:pPr>
              <w:spacing w:before="120" w:after="120"/>
              <w:jc w:val="both"/>
              <w:rPr>
                <w:lang w:val="ro-RO"/>
              </w:rPr>
            </w:pPr>
            <w:r w:rsidRPr="00AB1788">
              <w:rPr>
                <w:lang w:val="ro-RO"/>
              </w:rPr>
              <w:t>Considerăm strict necesară reintroducerea plafonului minim neimpozabil pentru beneficiarii câştigurilor de la campaniile promoţionale având in vedere următoarele.</w:t>
            </w:r>
          </w:p>
          <w:p w:rsidR="00195370" w:rsidRPr="00AB1788" w:rsidRDefault="00195370" w:rsidP="00195370">
            <w:pPr>
              <w:spacing w:before="120" w:after="120"/>
              <w:jc w:val="both"/>
              <w:rPr>
                <w:lang w:val="ro-RO"/>
              </w:rPr>
            </w:pPr>
            <w:r w:rsidRPr="00AB1788">
              <w:rPr>
                <w:lang w:val="ro-RO"/>
              </w:rPr>
              <w:t>Potrivit prevederilor art. 5 pct. 38) al Codului fiscal c</w:t>
            </w:r>
            <w:r w:rsidRPr="00AB1788">
              <w:rPr>
                <w:i/>
                <w:iCs/>
                <w:lang w:val="ro-RO"/>
              </w:rPr>
              <w:t>ampania promoţională</w:t>
            </w:r>
            <w:r w:rsidRPr="00AB1788">
              <w:rPr>
                <w:lang w:val="ro-RO"/>
              </w:rPr>
              <w:t xml:space="preserve">  reprezintă modalitatea de promovare a vînzărilor prin organizarea de concursuri, jocuri, loterii anunţate public şi desfăşurate pe o perioadă de timp limitată, cu acordarea de cadouri, premii, câştiguri.</w:t>
            </w:r>
          </w:p>
          <w:p w:rsidR="00195370" w:rsidRPr="00AB1788" w:rsidRDefault="00195370" w:rsidP="00195370">
            <w:pPr>
              <w:spacing w:before="120" w:after="120"/>
              <w:rPr>
                <w:lang w:val="ro-RO"/>
              </w:rPr>
            </w:pPr>
            <w:r w:rsidRPr="00AB1788">
              <w:rPr>
                <w:lang w:val="ro-RO"/>
              </w:rPr>
              <w:t xml:space="preserve">Legea </w:t>
            </w:r>
            <w:hyperlink r:id="rId8" w:history="1">
              <w:r w:rsidRPr="00AB1788">
                <w:rPr>
                  <w:lang w:val="ro-RO"/>
                </w:rPr>
                <w:t xml:space="preserve"> nr.267 din 23 decembrie 2011</w:t>
              </w:r>
            </w:hyperlink>
            <w:r w:rsidRPr="00AB1788">
              <w:rPr>
                <w:lang w:val="ro-RO"/>
              </w:rPr>
              <w:t xml:space="preserve"> a modificat substanţial redacţia art. 20 al Codului fiscal </w:t>
            </w:r>
            <w:r w:rsidRPr="00AB1788">
              <w:rPr>
                <w:u w:val="single"/>
                <w:lang w:val="ro-RO"/>
              </w:rPr>
              <w:t>prin excluderea</w:t>
            </w:r>
            <w:r w:rsidRPr="00AB1788">
              <w:rPr>
                <w:lang w:val="ro-RO"/>
              </w:rPr>
              <w:t xml:space="preserve"> lit </w:t>
            </w:r>
            <w:r w:rsidRPr="00AB1788">
              <w:rPr>
                <w:i/>
                <w:iCs/>
                <w:lang w:val="ro-RO"/>
              </w:rPr>
              <w:t>p</w:t>
            </w:r>
            <w:r w:rsidRPr="00AB1788">
              <w:rPr>
                <w:i/>
                <w:iCs/>
                <w:vertAlign w:val="superscript"/>
                <w:lang w:val="ro-RO"/>
              </w:rPr>
              <w:t>1</w:t>
            </w:r>
            <w:r w:rsidRPr="00AB1788">
              <w:rPr>
                <w:lang w:val="ro-RO"/>
              </w:rPr>
              <w:t>) care stabilea anterior în perioada 2006 – 2011 un anumit plafon minim de s</w:t>
            </w:r>
            <w:r>
              <w:rPr>
                <w:lang w:val="ro-RO"/>
              </w:rPr>
              <w:t>cutire de impozit pe venit al cî</w:t>
            </w:r>
            <w:r w:rsidRPr="00AB1788">
              <w:rPr>
                <w:lang w:val="ro-RO"/>
              </w:rPr>
              <w:t xml:space="preserve">ştigurilor de la campaniile promoţionale, </w:t>
            </w:r>
            <w:r w:rsidRPr="00AB1788">
              <w:rPr>
                <w:u w:val="single"/>
                <w:lang w:val="ro-RO"/>
              </w:rPr>
              <w:t>şi anume, în partea în care valoarea fiecărui câştig nu depăşea 10% din valoarea scutirii personale anuale (indicator stabilit la art.33 alin.(1) al Codului fiscal).</w:t>
            </w:r>
            <w:r w:rsidRPr="00AB1788">
              <w:rPr>
                <w:lang w:val="ro-RO"/>
              </w:rPr>
              <w:t xml:space="preserve">  În mod particular, scutirea personală anuală pentru 2011 a constituit MDL 8,100. Respectiv, în perioada fiscală 2011 câştigurile mai mici de </w:t>
            </w:r>
            <w:r w:rsidRPr="00AB1788">
              <w:rPr>
                <w:b/>
                <w:lang w:val="ro-RO"/>
              </w:rPr>
              <w:t>MDL 810</w:t>
            </w:r>
            <w:r w:rsidRPr="00AB1788">
              <w:rPr>
                <w:lang w:val="ro-RO"/>
              </w:rPr>
              <w:t xml:space="preserve"> au fost:</w:t>
            </w:r>
          </w:p>
          <w:p w:rsidR="00195370" w:rsidRPr="00AB1788" w:rsidRDefault="00195370" w:rsidP="00195370">
            <w:pPr>
              <w:pStyle w:val="af6"/>
              <w:numPr>
                <w:ilvl w:val="0"/>
                <w:numId w:val="32"/>
              </w:numPr>
              <w:spacing w:before="120" w:after="120"/>
              <w:rPr>
                <w:lang w:val="ro-RO"/>
              </w:rPr>
            </w:pPr>
            <w:r w:rsidRPr="00AB1788">
              <w:rPr>
                <w:lang w:val="ro-RO"/>
              </w:rPr>
              <w:t>neimpozabile pentru beneficiari (c</w:t>
            </w:r>
            <w:r>
              <w:rPr>
                <w:lang w:val="ro-RO"/>
              </w:rPr>
              <w:t>î</w:t>
            </w:r>
            <w:r w:rsidRPr="00AB1788">
              <w:rPr>
                <w:lang w:val="ro-RO"/>
              </w:rPr>
              <w:t>ştigători)</w:t>
            </w:r>
          </w:p>
          <w:p w:rsidR="00195370" w:rsidRPr="00195370" w:rsidRDefault="00195370" w:rsidP="00195370">
            <w:pPr>
              <w:pStyle w:val="af6"/>
              <w:numPr>
                <w:ilvl w:val="0"/>
                <w:numId w:val="32"/>
              </w:numPr>
              <w:spacing w:before="120" w:after="120"/>
              <w:rPr>
                <w:lang w:val="ro-RO"/>
              </w:rPr>
            </w:pPr>
            <w:r w:rsidRPr="00AB1788">
              <w:rPr>
                <w:lang w:val="ro-RO"/>
              </w:rPr>
              <w:t xml:space="preserve">netaxabile la sursa de plată cu impozit pe venit de 10% în baza art. </w:t>
            </w:r>
            <w:r w:rsidRPr="00AB1788">
              <w:rPr>
                <w:bCs/>
                <w:lang w:val="ro-RO"/>
              </w:rPr>
              <w:t>90</w:t>
            </w:r>
            <w:r w:rsidRPr="00AB1788">
              <w:rPr>
                <w:bCs/>
                <w:vertAlign w:val="superscript"/>
                <w:lang w:val="ro-RO"/>
              </w:rPr>
              <w:t>1</w:t>
            </w:r>
            <w:r w:rsidRPr="00AB1788">
              <w:rPr>
                <w:bCs/>
                <w:lang w:val="ro-RO"/>
              </w:rPr>
              <w:t xml:space="preserve"> alin. (2) </w:t>
            </w:r>
            <w:r w:rsidRPr="00AB1788">
              <w:rPr>
                <w:lang w:val="ro-RO"/>
              </w:rPr>
              <w:t>al Codului fiscal</w:t>
            </w:r>
          </w:p>
          <w:p w:rsidR="00195370" w:rsidRPr="00195370" w:rsidRDefault="00195370" w:rsidP="00195370">
            <w:pPr>
              <w:spacing w:before="120" w:after="120"/>
              <w:jc w:val="both"/>
              <w:rPr>
                <w:bCs/>
                <w:vertAlign w:val="superscript"/>
                <w:lang w:val="ro-RO"/>
              </w:rPr>
            </w:pPr>
            <w:r w:rsidRPr="00AB1788">
              <w:rPr>
                <w:lang w:val="ro-RO"/>
              </w:rPr>
              <w:t xml:space="preserve">Avand în vedere excluderea acestei surse de venit neimpozabile, valoarea oricăror cîştiguri urmează a fi impozitate la sursa de plată conform cerinţelor standard din art. </w:t>
            </w:r>
            <w:r w:rsidRPr="00AB1788">
              <w:rPr>
                <w:bCs/>
                <w:lang w:val="ro-RO"/>
              </w:rPr>
              <w:t>90</w:t>
            </w:r>
            <w:r w:rsidRPr="00AB1788">
              <w:rPr>
                <w:bCs/>
                <w:vertAlign w:val="superscript"/>
                <w:lang w:val="ro-RO"/>
              </w:rPr>
              <w:t xml:space="preserve">1 </w:t>
            </w:r>
            <w:r w:rsidRPr="00AB1788">
              <w:rPr>
                <w:lang w:val="ro-RO"/>
              </w:rPr>
              <w:t xml:space="preserve">al Codului fiscal. </w:t>
            </w:r>
          </w:p>
          <w:p w:rsidR="00195370" w:rsidRPr="00AB1788" w:rsidRDefault="00195370" w:rsidP="00195370">
            <w:pPr>
              <w:spacing w:before="120" w:after="120"/>
              <w:jc w:val="both"/>
              <w:rPr>
                <w:lang w:val="ro-RO"/>
              </w:rPr>
            </w:pPr>
            <w:r w:rsidRPr="00AB1788">
              <w:rPr>
                <w:lang w:val="ro-RO"/>
              </w:rPr>
              <w:t xml:space="preserve">Totuşi, în condiţiile în care </w:t>
            </w:r>
            <w:r w:rsidRPr="00AB1788">
              <w:rPr>
                <w:i/>
                <w:lang w:val="ro-RO"/>
              </w:rPr>
              <w:t>(i)</w:t>
            </w:r>
            <w:r w:rsidRPr="00AB1788">
              <w:rPr>
                <w:lang w:val="ro-RO"/>
              </w:rPr>
              <w:t xml:space="preserve"> această impozitare este una finală scutind beneficiarul de la includerea acestor surse în componenţa veniturilor brute şi de la de</w:t>
            </w:r>
            <w:r>
              <w:rPr>
                <w:lang w:val="ro-RO"/>
              </w:rPr>
              <w:t>clararea acestora, precum şi avî</w:t>
            </w:r>
            <w:r w:rsidRPr="00AB1788">
              <w:rPr>
                <w:lang w:val="ro-RO"/>
              </w:rPr>
              <w:t xml:space="preserve">nd în vedere faptul că </w:t>
            </w:r>
            <w:r w:rsidRPr="00AB1788">
              <w:rPr>
                <w:i/>
                <w:lang w:val="ro-RO"/>
              </w:rPr>
              <w:t>(ii)</w:t>
            </w:r>
            <w:r w:rsidRPr="00AB1788">
              <w:rPr>
                <w:lang w:val="ro-RO"/>
              </w:rPr>
              <w:t xml:space="preserve"> în majoritatea cazurilor organizatorii acestor campanii promoţionale </w:t>
            </w:r>
            <w:r>
              <w:rPr>
                <w:lang w:val="ro-RO"/>
              </w:rPr>
              <w:t>nu cunosc date exacte privind câştigă</w:t>
            </w:r>
            <w:r w:rsidRPr="00AB1788">
              <w:rPr>
                <w:lang w:val="ro-RO"/>
              </w:rPr>
              <w:t>torii (ex. aceste evenimente fiind organizate direct în magazine, alte locuri publice), agenţii economici vor fi nevoiţi să calculeze impozitul datorat prin metoda inversă, suportînd astfel cheltuielile aferente din surse proprii. Mai mult decat atat aceste cheltuieli vor fi calificate drept nedeductibile pentru scopurile impozitului pe venit din activitatea de întreprinzător, deoarece ar reprezenta impozitul plătit în numele altor persoane (art.30 alin. (1) al Codului fiscal).</w:t>
            </w:r>
          </w:p>
          <w:p w:rsidR="00195370" w:rsidRPr="00AB1788" w:rsidRDefault="00195370" w:rsidP="00195370">
            <w:pPr>
              <w:spacing w:before="120" w:after="120"/>
              <w:jc w:val="both"/>
              <w:rPr>
                <w:lang w:val="ro-RO"/>
              </w:rPr>
            </w:pPr>
            <w:r w:rsidRPr="00AB1788">
              <w:rPr>
                <w:lang w:val="ro-RO"/>
              </w:rPr>
              <w:t xml:space="preserve">În viziunea noastră, excluderea în baza Legii </w:t>
            </w:r>
            <w:hyperlink r:id="rId9" w:history="1">
              <w:r w:rsidRPr="00AB1788">
                <w:rPr>
                  <w:lang w:val="ro-RO"/>
                </w:rPr>
                <w:t xml:space="preserve"> nr.267 din 23 decembrie 2011</w:t>
              </w:r>
            </w:hyperlink>
            <w:r w:rsidRPr="00AB1788">
              <w:rPr>
                <w:lang w:val="ro-RO"/>
              </w:rPr>
              <w:t xml:space="preserve"> din redacţia art. 20 al Codului fiscal a lit </w:t>
            </w:r>
            <w:r w:rsidRPr="00AB1788">
              <w:rPr>
                <w:i/>
                <w:iCs/>
                <w:lang w:val="ro-RO"/>
              </w:rPr>
              <w:t>p</w:t>
            </w:r>
            <w:r w:rsidRPr="00AB1788">
              <w:rPr>
                <w:i/>
                <w:iCs/>
                <w:vertAlign w:val="superscript"/>
                <w:lang w:val="ro-RO"/>
              </w:rPr>
              <w:t>1</w:t>
            </w:r>
            <w:r w:rsidRPr="00AB1788">
              <w:rPr>
                <w:lang w:val="ro-RO"/>
              </w:rPr>
              <w:t>) va genera:</w:t>
            </w:r>
          </w:p>
          <w:p w:rsidR="00195370" w:rsidRPr="00AB1788" w:rsidRDefault="00195370" w:rsidP="00195370">
            <w:pPr>
              <w:pStyle w:val="af6"/>
              <w:numPr>
                <w:ilvl w:val="0"/>
                <w:numId w:val="33"/>
              </w:numPr>
              <w:spacing w:before="120" w:after="120"/>
              <w:jc w:val="both"/>
              <w:rPr>
                <w:lang w:val="ro-RO"/>
              </w:rPr>
            </w:pPr>
            <w:r>
              <w:rPr>
                <w:lang w:val="ro-RO"/>
              </w:rPr>
              <w:t>o sarcina adminstrativă</w:t>
            </w:r>
            <w:r w:rsidRPr="00AB1788">
              <w:rPr>
                <w:lang w:val="ro-RO"/>
              </w:rPr>
              <w:t xml:space="preserve"> suplimentară pentru Companiile organizatoare de campanii promoţionale (i.e. costuri administrative privind documentarea, impozitarea şi raportarea fiscală indiferent de valoarea câştigurilor, resurse de timp şi personal),</w:t>
            </w:r>
          </w:p>
          <w:p w:rsidR="00195370" w:rsidRPr="00195370" w:rsidRDefault="00195370" w:rsidP="00195370">
            <w:pPr>
              <w:pStyle w:val="af6"/>
              <w:numPr>
                <w:ilvl w:val="0"/>
                <w:numId w:val="33"/>
              </w:numPr>
              <w:spacing w:before="120" w:after="120"/>
              <w:jc w:val="both"/>
              <w:rPr>
                <w:lang w:val="ro-RO"/>
              </w:rPr>
            </w:pPr>
            <w:r w:rsidRPr="00AB1788">
              <w:rPr>
                <w:lang w:val="ro-RO"/>
              </w:rPr>
              <w:t>costuri pentru autorităţile fiscale privind administrarea şi controlul la acest capitol.</w:t>
            </w:r>
          </w:p>
          <w:p w:rsidR="00195370" w:rsidRPr="00AB1788" w:rsidRDefault="00195370" w:rsidP="00195370">
            <w:pPr>
              <w:spacing w:before="120" w:after="120"/>
              <w:jc w:val="both"/>
              <w:rPr>
                <w:lang w:val="ro-RO"/>
              </w:rPr>
            </w:pPr>
            <w:r w:rsidRPr="00AB1788">
              <w:rPr>
                <w:lang w:val="ro-RO"/>
              </w:rPr>
              <w:t>Credem că încă în anul 2005, când</w:t>
            </w:r>
            <w:r>
              <w:rPr>
                <w:lang w:val="ro-RO"/>
              </w:rPr>
              <w:t xml:space="preserve"> Parlamentu</w:t>
            </w:r>
            <w:r w:rsidRPr="00AB1788">
              <w:rPr>
                <w:lang w:val="ro-RO"/>
              </w:rPr>
              <w:t xml:space="preserve">l a aprobat prin Legea nr. 154-XVI  din  21.07.2005 întroducerea plafonului minim neimpozabil, a fost analizat şi recunoscut drept justificat prin faptul ca cheltuielile administrative ale statului </w:t>
            </w:r>
            <w:r w:rsidRPr="00AB1788">
              <w:rPr>
                <w:u w:val="single"/>
                <w:lang w:val="ro-RO"/>
              </w:rPr>
              <w:t>versus</w:t>
            </w:r>
            <w:r w:rsidRPr="00AB1788">
              <w:rPr>
                <w:lang w:val="ro-RO"/>
              </w:rPr>
              <w:t xml:space="preserve"> încasările impozitului aferente acestor venituri (sub plafonul stabilit drept neimpozabil) nu vor genera avantaje raţionale atât pentru stat cît şi pentru mediul de afaceri.</w:t>
            </w:r>
          </w:p>
          <w:p w:rsidR="00195370" w:rsidRPr="00AB1788" w:rsidRDefault="00195370" w:rsidP="00195370">
            <w:pPr>
              <w:spacing w:before="120" w:after="120"/>
              <w:jc w:val="both"/>
              <w:rPr>
                <w:lang w:val="ro-RO"/>
              </w:rPr>
            </w:pPr>
            <w:r w:rsidRPr="00AB1788">
              <w:rPr>
                <w:lang w:val="ro-RO"/>
              </w:rPr>
              <w:t xml:space="preserve">Este remarcabilă şi practica internaţională la acest subiect. Astfel, conform prevederilor legislaţiei fiscale a Federaţiei Ruse din 2012 valoarea anuală a câştigurilor de la acţiunile promoţionale care nu depăşeşte </w:t>
            </w:r>
            <w:r w:rsidRPr="00AB1788">
              <w:rPr>
                <w:b/>
                <w:lang w:val="ro-RO"/>
              </w:rPr>
              <w:t>4,000 ruble (aprox. MDL 1,600)</w:t>
            </w:r>
            <w:r w:rsidRPr="00AB1788">
              <w:rPr>
                <w:lang w:val="ro-RO"/>
              </w:rPr>
              <w:t xml:space="preserve"> se consideră drept venit neimpozabil. La rîndul său legislaţia fiscală a Romaniei stabileşte drept sursă de venit neimpozabil - veniturile obţinute din premii promoţionale, în bani şi/sau în natură, sub valoarea sumei neimpozabile stabilită în sumă de </w:t>
            </w:r>
            <w:r w:rsidRPr="00AB1788">
              <w:rPr>
                <w:b/>
                <w:lang w:val="ro-RO"/>
              </w:rPr>
              <w:t>600 RON (aprox. MDL 2,200).</w:t>
            </w:r>
          </w:p>
          <w:p w:rsidR="00DF4E3E" w:rsidRPr="00195370" w:rsidRDefault="00195370" w:rsidP="00195370">
            <w:pPr>
              <w:spacing w:before="120" w:after="120"/>
              <w:jc w:val="both"/>
              <w:rPr>
                <w:b/>
                <w:lang w:val="ro-RO"/>
              </w:rPr>
            </w:pPr>
            <w:r w:rsidRPr="00AB1788">
              <w:rPr>
                <w:b/>
                <w:lang w:val="ro-RO"/>
              </w:rPr>
              <w:t xml:space="preserve">În contextul celor expuse, precum şi având în vedere obiectivele bine determinate ale statului în susţinerea businessului (inclusiv prin promovarea unei politici fiscale bazate pe astfel de principii ca certitudinea impunerii si randamentul </w:t>
            </w:r>
            <w:r w:rsidRPr="00AB1788">
              <w:rPr>
                <w:b/>
                <w:lang w:val="ro-RO"/>
              </w:rPr>
              <w:lastRenderedPageBreak/>
              <w:t>impozitelor), precum şi practicile internaţionale la acest compartiment, este strict recomandabilă reintr</w:t>
            </w:r>
            <w:r>
              <w:rPr>
                <w:b/>
                <w:lang w:val="ro-RO"/>
              </w:rPr>
              <w:t>od</w:t>
            </w:r>
            <w:r w:rsidRPr="00AB1788">
              <w:rPr>
                <w:b/>
                <w:lang w:val="ro-RO"/>
              </w:rPr>
              <w:t>ucerea plafonului minim neimpozabil la câştigurilor de la campaniile promoţionale astfel cum a existat în 2006 - 2011.</w:t>
            </w:r>
          </w:p>
        </w:tc>
      </w:tr>
      <w:tr w:rsidR="00DF4E3E" w:rsidRPr="001B1C1C" w:rsidTr="00395E35">
        <w:trPr>
          <w:trHeight w:val="70"/>
        </w:trPr>
        <w:tc>
          <w:tcPr>
            <w:tcW w:w="439" w:type="dxa"/>
          </w:tcPr>
          <w:p w:rsidR="00DF4E3E" w:rsidRPr="001B1C1C" w:rsidRDefault="008871CA" w:rsidP="00A40C0B">
            <w:pPr>
              <w:tabs>
                <w:tab w:val="left" w:pos="1080"/>
              </w:tabs>
              <w:spacing w:before="120" w:after="120" w:line="240" w:lineRule="atLeast"/>
              <w:rPr>
                <w:rFonts w:asciiTheme="majorHAnsi" w:hAnsiTheme="majorHAnsi" w:cstheme="minorHAnsi"/>
                <w:lang w:val="ro-RO"/>
              </w:rPr>
            </w:pPr>
            <w:r>
              <w:rPr>
                <w:rFonts w:asciiTheme="majorHAnsi" w:hAnsiTheme="majorHAnsi" w:cstheme="minorHAnsi"/>
                <w:lang w:val="ro-RO"/>
              </w:rPr>
              <w:lastRenderedPageBreak/>
              <w:t>2</w:t>
            </w:r>
          </w:p>
        </w:tc>
        <w:tc>
          <w:tcPr>
            <w:tcW w:w="2331" w:type="dxa"/>
          </w:tcPr>
          <w:p w:rsidR="00DF4E3E" w:rsidRPr="001B1C1C" w:rsidRDefault="00DF4E3E" w:rsidP="00A40C0B">
            <w:pPr>
              <w:spacing w:before="120" w:after="120" w:line="240" w:lineRule="atLeast"/>
              <w:rPr>
                <w:rFonts w:asciiTheme="majorHAnsi" w:hAnsiTheme="majorHAnsi" w:cstheme="minorHAnsi"/>
                <w:lang w:val="ro-RO"/>
              </w:rPr>
            </w:pPr>
            <w:r w:rsidRPr="001B1C1C">
              <w:rPr>
                <w:rFonts w:asciiTheme="majorHAnsi" w:hAnsiTheme="majorHAnsi" w:cstheme="minorHAnsi"/>
                <w:lang w:val="ro-RO"/>
              </w:rPr>
              <w:t>Art. 24 alin. 13) al CF:</w:t>
            </w:r>
          </w:p>
          <w:p w:rsidR="00DF4E3E" w:rsidRPr="001B1C1C" w:rsidRDefault="00DF4E3E" w:rsidP="00A40C0B">
            <w:pPr>
              <w:spacing w:before="120" w:after="120" w:line="240" w:lineRule="atLeast"/>
              <w:rPr>
                <w:rFonts w:asciiTheme="majorHAnsi" w:hAnsiTheme="majorHAnsi" w:cstheme="minorHAnsi"/>
              </w:rPr>
            </w:pPr>
            <w:r w:rsidRPr="001B1C1C">
              <w:rPr>
                <w:rFonts w:asciiTheme="majorHAnsi" w:hAnsiTheme="majorHAnsi" w:cstheme="minorHAnsi"/>
              </w:rPr>
              <w:t>“</w:t>
            </w:r>
            <w:proofErr w:type="spellStart"/>
            <w:r w:rsidRPr="001B1C1C">
              <w:rPr>
                <w:rFonts w:asciiTheme="majorHAnsi" w:hAnsiTheme="majorHAnsi" w:cstheme="minorHAnsi"/>
              </w:rPr>
              <w:t>Deducerea</w:t>
            </w:r>
            <w:proofErr w:type="spellEnd"/>
            <w:r w:rsidRPr="001B1C1C">
              <w:rPr>
                <w:rFonts w:asciiTheme="majorHAnsi" w:hAnsiTheme="majorHAnsi" w:cstheme="minorHAnsi"/>
              </w:rPr>
              <w:t xml:space="preserve"> </w:t>
            </w:r>
            <w:proofErr w:type="spellStart"/>
            <w:r w:rsidRPr="001B1C1C">
              <w:rPr>
                <w:rFonts w:asciiTheme="majorHAnsi" w:hAnsiTheme="majorHAnsi" w:cstheme="minorHAnsi"/>
              </w:rPr>
              <w:t>cheltuielilor</w:t>
            </w:r>
            <w:proofErr w:type="spellEnd"/>
            <w:r w:rsidRPr="001B1C1C">
              <w:rPr>
                <w:rFonts w:asciiTheme="majorHAnsi" w:hAnsiTheme="majorHAnsi" w:cstheme="minorHAnsi"/>
              </w:rPr>
              <w:t xml:space="preserve"> </w:t>
            </w:r>
            <w:proofErr w:type="spellStart"/>
            <w:r w:rsidRPr="001B1C1C">
              <w:rPr>
                <w:rFonts w:asciiTheme="majorHAnsi" w:hAnsiTheme="majorHAnsi" w:cstheme="minorHAnsi"/>
              </w:rPr>
              <w:t>aferente</w:t>
            </w:r>
            <w:proofErr w:type="spellEnd"/>
            <w:r w:rsidRPr="001B1C1C">
              <w:rPr>
                <w:rFonts w:asciiTheme="majorHAnsi" w:hAnsiTheme="majorHAnsi" w:cstheme="minorHAnsi"/>
              </w:rPr>
              <w:t xml:space="preserve"> </w:t>
            </w:r>
            <w:proofErr w:type="spellStart"/>
            <w:r w:rsidRPr="001B1C1C">
              <w:rPr>
                <w:rFonts w:asciiTheme="majorHAnsi" w:hAnsiTheme="majorHAnsi" w:cstheme="minorHAnsi"/>
              </w:rPr>
              <w:t>activităţii</w:t>
            </w:r>
            <w:proofErr w:type="spellEnd"/>
            <w:r w:rsidRPr="001B1C1C">
              <w:rPr>
                <w:rFonts w:asciiTheme="majorHAnsi" w:hAnsiTheme="majorHAnsi" w:cstheme="minorHAnsi"/>
              </w:rPr>
              <w:t xml:space="preserve"> de </w:t>
            </w:r>
            <w:proofErr w:type="spellStart"/>
            <w:r w:rsidRPr="001B1C1C">
              <w:rPr>
                <w:rFonts w:asciiTheme="majorHAnsi" w:hAnsiTheme="majorHAnsi" w:cstheme="minorHAnsi"/>
              </w:rPr>
              <w:t>întreprinzător</w:t>
            </w:r>
            <w:proofErr w:type="spellEnd"/>
            <w:r w:rsidRPr="001B1C1C">
              <w:rPr>
                <w:rFonts w:asciiTheme="majorHAnsi" w:hAnsiTheme="majorHAnsi" w:cstheme="minorHAnsi"/>
              </w:rPr>
              <w:t>”</w:t>
            </w:r>
          </w:p>
        </w:tc>
        <w:tc>
          <w:tcPr>
            <w:tcW w:w="8750" w:type="dxa"/>
          </w:tcPr>
          <w:p w:rsidR="00DF4E3E" w:rsidRPr="001B1C1C" w:rsidRDefault="00DF4E3E" w:rsidP="00A40C0B">
            <w:pPr>
              <w:spacing w:before="120" w:after="120" w:line="240" w:lineRule="atLeast"/>
              <w:jc w:val="both"/>
              <w:rPr>
                <w:rFonts w:asciiTheme="majorHAnsi" w:hAnsiTheme="majorHAnsi" w:cstheme="minorHAnsi"/>
                <w:lang w:val="ro-RO"/>
              </w:rPr>
            </w:pPr>
            <w:r w:rsidRPr="001B1C1C">
              <w:rPr>
                <w:rFonts w:asciiTheme="majorHAnsi" w:hAnsiTheme="majorHAnsi" w:cstheme="minorHAnsi"/>
                <w:lang w:val="ro-RO"/>
              </w:rPr>
              <w:t>Propunem modificarea art. 24 alin. (13) prin completarea textului după cuvântul „deşeurilor” cu sintagma „pierderile tehnologice”.</w:t>
            </w:r>
          </w:p>
          <w:p w:rsidR="00DF4E3E" w:rsidRPr="001B1C1C" w:rsidRDefault="00DF4E3E" w:rsidP="00A40C0B">
            <w:pPr>
              <w:spacing w:before="120" w:after="120" w:line="240" w:lineRule="atLeast"/>
              <w:jc w:val="both"/>
              <w:rPr>
                <w:rFonts w:asciiTheme="majorHAnsi" w:hAnsiTheme="majorHAnsi" w:cstheme="minorHAnsi"/>
                <w:lang w:val="ro-RO"/>
              </w:rPr>
            </w:pPr>
            <w:r w:rsidRPr="001B1C1C">
              <w:rPr>
                <w:rFonts w:asciiTheme="majorHAnsi" w:hAnsiTheme="majorHAnsi" w:cstheme="minorHAnsi"/>
                <w:lang w:val="ro-RO"/>
              </w:rPr>
              <w:t>Această completare este îndeosebi importantă, deoarece întreprinderile producătoare de mărfuri în măsură egală au dreptul la deducerea cheltuielilor suportate în legătură cu pierderile tehnologice. Aceste pierderi nu se încadrează în redacţia actuală a punctului 13) din art.24 al Codului fiscal.</w:t>
            </w:r>
          </w:p>
          <w:p w:rsidR="00DF4E3E" w:rsidRPr="001B1C1C" w:rsidRDefault="00DF4E3E" w:rsidP="00A40C0B">
            <w:pPr>
              <w:spacing w:before="120" w:after="120"/>
              <w:jc w:val="both"/>
              <w:rPr>
                <w:rFonts w:asciiTheme="majorHAnsi" w:hAnsiTheme="majorHAnsi" w:cstheme="minorHAnsi"/>
                <w:lang w:val="ro-RO"/>
              </w:rPr>
            </w:pPr>
            <w:r w:rsidRPr="001B1C1C">
              <w:rPr>
                <w:rFonts w:asciiTheme="majorHAnsi" w:hAnsiTheme="majorHAnsi" w:cstheme="minorHAnsi"/>
                <w:lang w:val="ro-RO"/>
              </w:rPr>
              <w:t xml:space="preserve">Totuşi, în lipsa unor prevederi expres în legislaţia fiscală, în cadrul verificărilor această normă este tratată diferit, fapt care implică costuri aditionale pentru companii în vederea justificarii deductibilităţii pierderilor tehnologice în cadrul controlului sau contestării rezultatelor acestuia. </w:t>
            </w:r>
          </w:p>
        </w:tc>
      </w:tr>
      <w:tr w:rsidR="00DF4E3E" w:rsidRPr="001B1C1C" w:rsidTr="00395E35">
        <w:trPr>
          <w:trHeight w:val="70"/>
        </w:trPr>
        <w:tc>
          <w:tcPr>
            <w:tcW w:w="439" w:type="dxa"/>
          </w:tcPr>
          <w:p w:rsidR="00DF4E3E" w:rsidRPr="001B1C1C" w:rsidRDefault="008871CA" w:rsidP="00A40C0B">
            <w:pPr>
              <w:tabs>
                <w:tab w:val="left" w:pos="1080"/>
              </w:tabs>
              <w:spacing w:before="120" w:after="120" w:line="240" w:lineRule="atLeast"/>
              <w:rPr>
                <w:rFonts w:asciiTheme="majorHAnsi" w:hAnsiTheme="majorHAnsi" w:cstheme="minorHAnsi"/>
                <w:lang w:val="ro-RO"/>
              </w:rPr>
            </w:pPr>
            <w:r>
              <w:rPr>
                <w:rFonts w:asciiTheme="majorHAnsi" w:hAnsiTheme="majorHAnsi" w:cstheme="minorHAnsi"/>
                <w:lang w:val="ro-RO"/>
              </w:rPr>
              <w:t>3</w:t>
            </w:r>
          </w:p>
        </w:tc>
        <w:tc>
          <w:tcPr>
            <w:tcW w:w="2331" w:type="dxa"/>
          </w:tcPr>
          <w:p w:rsidR="00DF4E3E" w:rsidRPr="001B1C1C" w:rsidRDefault="00DF4E3E" w:rsidP="00A40C0B">
            <w:pPr>
              <w:spacing w:before="120" w:after="120" w:line="240" w:lineRule="atLeast"/>
              <w:rPr>
                <w:rFonts w:asciiTheme="majorHAnsi" w:hAnsiTheme="majorHAnsi" w:cstheme="minorHAnsi"/>
                <w:lang w:val="ro-RO"/>
              </w:rPr>
            </w:pPr>
            <w:r w:rsidRPr="001B1C1C">
              <w:rPr>
                <w:rFonts w:asciiTheme="majorHAnsi" w:hAnsiTheme="majorHAnsi" w:cstheme="minorHAnsi"/>
                <w:lang w:val="ro-RO"/>
              </w:rPr>
              <w:t>Eliminarea dublei impozitări a facilităţilor acordate de patron (impozitare concomitentă la nivelul patronului şi a angajatului său)</w:t>
            </w:r>
          </w:p>
          <w:p w:rsidR="00DF4E3E" w:rsidRPr="001B1C1C" w:rsidRDefault="00DF4E3E" w:rsidP="00A40C0B">
            <w:pPr>
              <w:spacing w:before="120" w:after="120" w:line="240" w:lineRule="atLeast"/>
              <w:rPr>
                <w:rFonts w:asciiTheme="majorHAnsi" w:hAnsiTheme="majorHAnsi" w:cstheme="minorHAnsi"/>
                <w:lang w:val="ro-RO"/>
              </w:rPr>
            </w:pPr>
            <w:r w:rsidRPr="001B1C1C">
              <w:rPr>
                <w:rFonts w:asciiTheme="majorHAnsi" w:hAnsiTheme="majorHAnsi" w:cstheme="minorHAnsi"/>
                <w:lang w:val="ro-RO"/>
              </w:rPr>
              <w:t>Art 24 al CF</w:t>
            </w:r>
          </w:p>
          <w:p w:rsidR="00DF4E3E" w:rsidRPr="001B1C1C" w:rsidRDefault="00DF4E3E" w:rsidP="00A40C0B">
            <w:pPr>
              <w:spacing w:before="120" w:after="120" w:line="240" w:lineRule="atLeast"/>
              <w:rPr>
                <w:rFonts w:asciiTheme="majorHAnsi" w:hAnsiTheme="majorHAnsi" w:cstheme="minorHAnsi"/>
                <w:lang w:val="ro-RO"/>
              </w:rPr>
            </w:pPr>
            <w:r w:rsidRPr="001B1C1C">
              <w:rPr>
                <w:rFonts w:asciiTheme="majorHAnsi" w:hAnsiTheme="majorHAnsi" w:cstheme="minorHAnsi"/>
                <w:lang w:val="ro-RO"/>
              </w:rPr>
              <w:t>Art. 36 al CF</w:t>
            </w:r>
          </w:p>
        </w:tc>
        <w:tc>
          <w:tcPr>
            <w:tcW w:w="8750" w:type="dxa"/>
          </w:tcPr>
          <w:p w:rsidR="00DF4E3E" w:rsidRPr="001B1C1C" w:rsidRDefault="00DF4E3E" w:rsidP="00A40C0B">
            <w:pPr>
              <w:spacing w:before="120" w:after="120" w:line="240" w:lineRule="atLeast"/>
              <w:rPr>
                <w:rFonts w:asciiTheme="majorHAnsi" w:hAnsiTheme="majorHAnsi" w:cstheme="minorHAnsi"/>
                <w:spacing w:val="-1"/>
                <w:lang w:val="ro-RO"/>
              </w:rPr>
            </w:pPr>
            <w:r w:rsidRPr="001B1C1C">
              <w:rPr>
                <w:rFonts w:asciiTheme="majorHAnsi" w:hAnsiTheme="majorHAnsi" w:cstheme="minorHAnsi"/>
                <w:spacing w:val="-1"/>
                <w:lang w:val="ro-RO"/>
              </w:rPr>
              <w:t xml:space="preserve">Propunem completarea art. 24 sau a art 36 cu un nou alineat cu următorul conţinut: </w:t>
            </w:r>
            <w:r w:rsidRPr="001B1C1C">
              <w:rPr>
                <w:rFonts w:asciiTheme="majorHAnsi" w:hAnsiTheme="majorHAnsi" w:cstheme="minorHAnsi"/>
                <w:b/>
                <w:spacing w:val="-1"/>
                <w:lang w:val="ro-RO"/>
              </w:rPr>
              <w:t>„</w:t>
            </w:r>
            <w:r w:rsidRPr="001B1C1C">
              <w:rPr>
                <w:rFonts w:asciiTheme="majorHAnsi" w:hAnsiTheme="majorHAnsi" w:cstheme="minorHAnsi"/>
                <w:b/>
                <w:i/>
                <w:spacing w:val="-1"/>
                <w:lang w:val="ro-RO"/>
              </w:rPr>
              <w:t>Se permite deducerea cheltuielilor ce ţin de facilităţile acordate de patron, specificate la articolul 19</w:t>
            </w:r>
            <w:r w:rsidRPr="001B1C1C">
              <w:rPr>
                <w:rFonts w:asciiTheme="majorHAnsi" w:hAnsiTheme="majorHAnsi" w:cstheme="minorHAnsi"/>
                <w:b/>
                <w:spacing w:val="-1"/>
                <w:lang w:val="ro-RO"/>
              </w:rPr>
              <w:t xml:space="preserve">” </w:t>
            </w:r>
          </w:p>
          <w:p w:rsidR="00DF4E3E" w:rsidRPr="001B1C1C" w:rsidRDefault="00DF4E3E" w:rsidP="00A40C0B">
            <w:pPr>
              <w:spacing w:before="120" w:after="120" w:line="240" w:lineRule="atLeast"/>
              <w:rPr>
                <w:rFonts w:asciiTheme="majorHAnsi" w:hAnsiTheme="majorHAnsi" w:cstheme="minorHAnsi"/>
                <w:spacing w:val="-1"/>
                <w:lang w:val="ro-RO"/>
              </w:rPr>
            </w:pPr>
            <w:r w:rsidRPr="001B1C1C">
              <w:rPr>
                <w:rFonts w:asciiTheme="majorHAnsi" w:hAnsiTheme="majorHAnsi" w:cstheme="minorHAnsi"/>
                <w:spacing w:val="-1"/>
                <w:lang w:val="ro-RO"/>
              </w:rPr>
              <w:t>Acest amendament are drept scop eliminarea dublei impuneri unuia şi aceleiaşi fapte economice la nivelul a doi contribuabili, deoarece în prezent:</w:t>
            </w:r>
          </w:p>
          <w:p w:rsidR="00DF4E3E" w:rsidRPr="001B1C1C" w:rsidRDefault="00DF4E3E" w:rsidP="00A40C0B">
            <w:pPr>
              <w:pStyle w:val="af6"/>
              <w:numPr>
                <w:ilvl w:val="0"/>
                <w:numId w:val="36"/>
              </w:numPr>
              <w:spacing w:before="120" w:after="120" w:line="240" w:lineRule="atLeast"/>
              <w:rPr>
                <w:rFonts w:asciiTheme="majorHAnsi" w:hAnsiTheme="majorHAnsi" w:cstheme="minorHAnsi"/>
                <w:spacing w:val="-1"/>
                <w:lang w:val="ro-RO"/>
              </w:rPr>
            </w:pPr>
            <w:r w:rsidRPr="001B1C1C">
              <w:rPr>
                <w:rFonts w:asciiTheme="majorHAnsi" w:hAnsiTheme="majorHAnsi" w:cstheme="minorHAnsi"/>
                <w:spacing w:val="-1"/>
                <w:lang w:val="ro-RO"/>
              </w:rPr>
              <w:t xml:space="preserve">facilităţile acordate de patron sunt </w:t>
            </w:r>
            <w:r w:rsidRPr="001B1C1C">
              <w:rPr>
                <w:rFonts w:asciiTheme="majorHAnsi" w:hAnsiTheme="majorHAnsi" w:cstheme="minorHAnsi"/>
                <w:spacing w:val="-1"/>
                <w:u w:val="single"/>
                <w:lang w:val="ro-RO"/>
              </w:rPr>
              <w:t>venituri impozabile pentru angajat</w:t>
            </w:r>
            <w:r w:rsidRPr="001B1C1C">
              <w:rPr>
                <w:rFonts w:asciiTheme="majorHAnsi" w:hAnsiTheme="majorHAnsi" w:cstheme="minorHAnsi"/>
                <w:spacing w:val="-1"/>
                <w:lang w:val="ro-RO"/>
              </w:rPr>
              <w:t xml:space="preserve"> potrivit art.18, c)</w:t>
            </w:r>
          </w:p>
          <w:p w:rsidR="00DF4E3E" w:rsidRPr="001B1C1C" w:rsidRDefault="00DF4E3E" w:rsidP="00A40C0B">
            <w:pPr>
              <w:pStyle w:val="af6"/>
              <w:numPr>
                <w:ilvl w:val="0"/>
                <w:numId w:val="36"/>
              </w:numPr>
              <w:spacing w:before="120" w:after="120" w:line="240" w:lineRule="atLeast"/>
              <w:rPr>
                <w:rFonts w:asciiTheme="majorHAnsi" w:hAnsiTheme="majorHAnsi" w:cstheme="minorHAnsi"/>
                <w:spacing w:val="-1"/>
                <w:lang w:val="ro-RO"/>
              </w:rPr>
            </w:pPr>
            <w:r w:rsidRPr="001B1C1C">
              <w:rPr>
                <w:rFonts w:asciiTheme="majorHAnsi" w:hAnsiTheme="majorHAnsi" w:cstheme="minorHAnsi"/>
                <w:spacing w:val="-1"/>
                <w:lang w:val="ro-RO"/>
              </w:rPr>
              <w:t xml:space="preserve">facilităţile acordate de patron </w:t>
            </w:r>
            <w:r w:rsidRPr="001B1C1C">
              <w:rPr>
                <w:rFonts w:asciiTheme="majorHAnsi" w:hAnsiTheme="majorHAnsi" w:cstheme="minorHAnsi"/>
                <w:spacing w:val="-1"/>
                <w:u w:val="single"/>
                <w:lang w:val="ro-RO"/>
              </w:rPr>
              <w:t>reprezintă cheltuieli nedeductibile pentru patron</w:t>
            </w:r>
            <w:r w:rsidRPr="001B1C1C">
              <w:rPr>
                <w:rFonts w:asciiTheme="majorHAnsi" w:hAnsiTheme="majorHAnsi" w:cstheme="minorHAnsi"/>
                <w:spacing w:val="-1"/>
                <w:lang w:val="ro-RO"/>
              </w:rPr>
              <w:t xml:space="preserve"> (potrivit modalităţii de completare a rândului 03029 din Declaraţia persoanei juridice cu privire la impozitul pe venit).</w:t>
            </w:r>
          </w:p>
          <w:p w:rsidR="00DF4E3E" w:rsidRPr="001B1C1C" w:rsidRDefault="00DF4E3E" w:rsidP="00A40C0B">
            <w:pPr>
              <w:spacing w:before="120" w:after="120"/>
              <w:rPr>
                <w:rFonts w:asciiTheme="majorHAnsi" w:hAnsiTheme="majorHAnsi" w:cstheme="minorHAnsi"/>
                <w:spacing w:val="-1"/>
                <w:lang w:val="ro-RO"/>
              </w:rPr>
            </w:pPr>
            <w:r w:rsidRPr="001B1C1C">
              <w:rPr>
                <w:rFonts w:asciiTheme="majorHAnsi" w:hAnsiTheme="majorHAnsi" w:cstheme="minorHAnsi"/>
                <w:spacing w:val="-1"/>
                <w:lang w:val="ro-RO"/>
              </w:rPr>
              <w:t>Astfel, în opinia noastră, tratamentul fiscal actual nu este just atît pentru patroni, cît şi pentru angajaţii lor şi necesită a fi amendat. Adiţional, ţinem să menţionăm că u</w:t>
            </w:r>
            <w:r w:rsidR="00D977B5">
              <w:rPr>
                <w:rFonts w:asciiTheme="majorHAnsi" w:hAnsiTheme="majorHAnsi" w:cstheme="minorHAnsi"/>
                <w:spacing w:val="-1"/>
                <w:lang w:val="ro-RO"/>
              </w:rPr>
              <w:t>n tratament fiscal similar propu</w:t>
            </w:r>
            <w:r w:rsidRPr="001B1C1C">
              <w:rPr>
                <w:rFonts w:asciiTheme="majorHAnsi" w:hAnsiTheme="majorHAnsi" w:cstheme="minorHAnsi"/>
                <w:spacing w:val="-1"/>
                <w:lang w:val="ro-RO"/>
              </w:rPr>
              <w:t>s de noi este prevăzut şi în practica internaţională (de ex. în România).</w:t>
            </w:r>
          </w:p>
        </w:tc>
      </w:tr>
      <w:tr w:rsidR="00DF4E3E" w:rsidRPr="001B1C1C" w:rsidTr="00395E35">
        <w:trPr>
          <w:trHeight w:val="70"/>
        </w:trPr>
        <w:tc>
          <w:tcPr>
            <w:tcW w:w="439" w:type="dxa"/>
          </w:tcPr>
          <w:p w:rsidR="00DF4E3E" w:rsidRPr="008A0186" w:rsidRDefault="008871CA" w:rsidP="00A40C0B">
            <w:pPr>
              <w:tabs>
                <w:tab w:val="left" w:pos="1080"/>
              </w:tabs>
              <w:spacing w:before="120" w:after="120" w:line="240" w:lineRule="atLeast"/>
              <w:rPr>
                <w:rFonts w:asciiTheme="majorHAnsi" w:hAnsiTheme="majorHAnsi" w:cstheme="minorHAnsi"/>
                <w:lang w:val="ro-RO"/>
              </w:rPr>
            </w:pPr>
            <w:r>
              <w:rPr>
                <w:rFonts w:asciiTheme="majorHAnsi" w:hAnsiTheme="majorHAnsi" w:cstheme="minorHAnsi"/>
                <w:lang w:val="ro-RO"/>
              </w:rPr>
              <w:t>4</w:t>
            </w:r>
          </w:p>
        </w:tc>
        <w:tc>
          <w:tcPr>
            <w:tcW w:w="2331" w:type="dxa"/>
          </w:tcPr>
          <w:p w:rsidR="00DF4E3E" w:rsidRPr="008A0186" w:rsidRDefault="00DF4E3E" w:rsidP="008A0186">
            <w:pPr>
              <w:tabs>
                <w:tab w:val="left" w:pos="1080"/>
              </w:tabs>
              <w:spacing w:before="120" w:after="120" w:line="240" w:lineRule="atLeast"/>
              <w:rPr>
                <w:rFonts w:asciiTheme="majorHAnsi" w:hAnsiTheme="majorHAnsi" w:cstheme="minorHAnsi"/>
                <w:lang w:val="ro-RO"/>
              </w:rPr>
            </w:pPr>
            <w:r w:rsidRPr="008A0186">
              <w:rPr>
                <w:rFonts w:asciiTheme="majorHAnsi" w:hAnsiTheme="majorHAnsi" w:cstheme="minorHAnsi"/>
                <w:lang w:val="ro-RO"/>
              </w:rPr>
              <w:t>Reportarea pierderilor fiscale pe viitor</w:t>
            </w:r>
          </w:p>
          <w:p w:rsidR="00DF4E3E" w:rsidRPr="008A0186" w:rsidRDefault="00DF4E3E" w:rsidP="008A0186">
            <w:pPr>
              <w:tabs>
                <w:tab w:val="left" w:pos="1080"/>
              </w:tabs>
              <w:spacing w:before="120" w:after="120" w:line="240" w:lineRule="atLeast"/>
              <w:rPr>
                <w:rFonts w:asciiTheme="majorHAnsi" w:hAnsiTheme="majorHAnsi" w:cstheme="minorHAnsi"/>
                <w:lang w:val="ro-RO"/>
              </w:rPr>
            </w:pPr>
            <w:r w:rsidRPr="008A0186">
              <w:rPr>
                <w:rFonts w:asciiTheme="majorHAnsi" w:hAnsiTheme="majorHAnsi" w:cstheme="minorHAnsi"/>
                <w:lang w:val="ro-RO"/>
              </w:rPr>
              <w:t>Art. 32 al CF</w:t>
            </w:r>
          </w:p>
        </w:tc>
        <w:tc>
          <w:tcPr>
            <w:tcW w:w="8750" w:type="dxa"/>
          </w:tcPr>
          <w:p w:rsidR="008A0186" w:rsidRPr="008A0186" w:rsidRDefault="008A0186" w:rsidP="008A0186">
            <w:pPr>
              <w:pStyle w:val="a2"/>
              <w:spacing w:before="120" w:after="120"/>
              <w:rPr>
                <w:rFonts w:asciiTheme="majorHAnsi" w:hAnsiTheme="majorHAnsi" w:cstheme="minorHAnsi"/>
                <w:lang w:val="ro-RO"/>
              </w:rPr>
            </w:pPr>
            <w:r w:rsidRPr="008A0186">
              <w:rPr>
                <w:rFonts w:asciiTheme="majorHAnsi" w:hAnsiTheme="majorHAnsi" w:cstheme="minorHAnsi"/>
                <w:lang w:val="ro-RO"/>
              </w:rPr>
              <w:t xml:space="preserve">Propunem reportarea pierderilor fiscale pe următorii 3 ani, </w:t>
            </w:r>
            <w:r w:rsidRPr="008A0186">
              <w:rPr>
                <w:rFonts w:asciiTheme="majorHAnsi" w:hAnsiTheme="majorHAnsi" w:cstheme="minorHAnsi"/>
                <w:u w:val="single"/>
                <w:lang w:val="ro-RO"/>
              </w:rPr>
              <w:t>fără împărţirea acestora în părţi egale</w:t>
            </w:r>
            <w:r w:rsidRPr="008A0186">
              <w:rPr>
                <w:rFonts w:asciiTheme="majorHAnsi" w:hAnsiTheme="majorHAnsi" w:cstheme="minorHAnsi"/>
                <w:lang w:val="ro-RO"/>
              </w:rPr>
              <w:t xml:space="preserve">, în limita venitului impozabil al contribuabilului. </w:t>
            </w:r>
          </w:p>
          <w:p w:rsidR="008A0186" w:rsidRPr="008A0186" w:rsidRDefault="008A0186" w:rsidP="008A0186">
            <w:pPr>
              <w:pStyle w:val="a2"/>
              <w:spacing w:before="120" w:after="120"/>
              <w:rPr>
                <w:rFonts w:asciiTheme="majorHAnsi" w:hAnsiTheme="majorHAnsi" w:cstheme="minorHAnsi"/>
                <w:lang w:val="ro-RO"/>
              </w:rPr>
            </w:pPr>
            <w:r w:rsidRPr="008A0186">
              <w:rPr>
                <w:rFonts w:asciiTheme="majorHAnsi" w:hAnsiTheme="majorHAnsi" w:cstheme="minorHAnsi"/>
                <w:lang w:val="ro-RO"/>
              </w:rPr>
              <w:t>În acest sens, sugerăm eliminarea din art. 32 alin. (1) al Codului fiscal a sintagmei “eşalonat, în părţi egale”.</w:t>
            </w:r>
          </w:p>
          <w:p w:rsidR="008A0186" w:rsidRDefault="008A0186" w:rsidP="008A0186">
            <w:pPr>
              <w:pStyle w:val="a2"/>
              <w:spacing w:before="120" w:after="120"/>
              <w:rPr>
                <w:rFonts w:asciiTheme="majorHAnsi" w:hAnsiTheme="majorHAnsi" w:cstheme="minorHAnsi"/>
                <w:lang w:val="ro-RO"/>
              </w:rPr>
            </w:pPr>
            <w:r w:rsidRPr="008A0186">
              <w:rPr>
                <w:rFonts w:asciiTheme="majorHAnsi" w:hAnsiTheme="majorHAnsi" w:cstheme="minorHAnsi"/>
                <w:lang w:val="ro-RO"/>
              </w:rPr>
              <w:t>În practica, iniţierea unei afaceri în Moldova generează suportarea pierderilor fiscale în primii ani de activitate. În acest caz, eşalonarea pierderilor în părţi egale pe parcurs de 3 ani, are un impact negativ pentru clima</w:t>
            </w:r>
            <w:r>
              <w:rPr>
                <w:rFonts w:asciiTheme="majorHAnsi" w:hAnsiTheme="majorHAnsi" w:cstheme="minorHAnsi"/>
                <w:lang w:val="ro-RO"/>
              </w:rPr>
              <w:t xml:space="preserve">tul investiţional din Moldova. </w:t>
            </w:r>
          </w:p>
          <w:p w:rsidR="00DF4E3E" w:rsidRPr="008A0186" w:rsidRDefault="008A0186" w:rsidP="008A0186">
            <w:pPr>
              <w:pStyle w:val="a2"/>
              <w:spacing w:before="120" w:after="120"/>
              <w:rPr>
                <w:rFonts w:asciiTheme="majorHAnsi" w:hAnsiTheme="majorHAnsi" w:cstheme="minorHAnsi"/>
                <w:lang w:val="ro-RO"/>
              </w:rPr>
            </w:pPr>
            <w:r w:rsidRPr="008A0186">
              <w:rPr>
                <w:rFonts w:asciiTheme="majorHAnsi" w:hAnsiTheme="majorHAnsi" w:cstheme="minorHAnsi"/>
                <w:lang w:val="ro-RO"/>
              </w:rPr>
              <w:t>Menţionăm, că legislaţia fiscală a mai multor ţări din regiune, nu prevede practica raportării eşalonate a pierderilor fiscale în părţi egale.</w:t>
            </w:r>
          </w:p>
        </w:tc>
      </w:tr>
      <w:tr w:rsidR="00DF4E3E" w:rsidRPr="001B1C1C" w:rsidTr="00395E35">
        <w:trPr>
          <w:trHeight w:val="70"/>
        </w:trPr>
        <w:tc>
          <w:tcPr>
            <w:tcW w:w="439" w:type="dxa"/>
          </w:tcPr>
          <w:p w:rsidR="00DF4E3E" w:rsidRPr="001B1C1C" w:rsidRDefault="008871CA" w:rsidP="00A40C0B">
            <w:pPr>
              <w:tabs>
                <w:tab w:val="left" w:pos="1080"/>
              </w:tabs>
              <w:spacing w:before="120" w:after="120" w:line="240" w:lineRule="atLeast"/>
              <w:rPr>
                <w:rFonts w:asciiTheme="majorHAnsi" w:hAnsiTheme="majorHAnsi" w:cstheme="minorHAnsi"/>
                <w:lang w:val="ro-RO"/>
              </w:rPr>
            </w:pPr>
            <w:r>
              <w:rPr>
                <w:rFonts w:asciiTheme="majorHAnsi" w:hAnsiTheme="majorHAnsi" w:cstheme="minorHAnsi"/>
                <w:lang w:val="ro-RO"/>
              </w:rPr>
              <w:t>5</w:t>
            </w:r>
          </w:p>
        </w:tc>
        <w:tc>
          <w:tcPr>
            <w:tcW w:w="2331" w:type="dxa"/>
          </w:tcPr>
          <w:p w:rsidR="00DF4E3E" w:rsidRPr="001B1C1C" w:rsidRDefault="00DF4E3E" w:rsidP="00A40C0B">
            <w:pPr>
              <w:tabs>
                <w:tab w:val="left" w:pos="1080"/>
              </w:tabs>
              <w:spacing w:before="120" w:after="120" w:line="240" w:lineRule="atLeast"/>
              <w:rPr>
                <w:rFonts w:asciiTheme="majorHAnsi" w:hAnsiTheme="majorHAnsi" w:cstheme="minorHAnsi"/>
                <w:color w:val="000000" w:themeColor="text1"/>
                <w:lang w:val="ro-RO"/>
              </w:rPr>
            </w:pPr>
            <w:r w:rsidRPr="001B1C1C">
              <w:rPr>
                <w:rFonts w:asciiTheme="majorHAnsi" w:hAnsiTheme="majorHAnsi" w:cstheme="minorHAnsi"/>
                <w:color w:val="000000" w:themeColor="text1"/>
                <w:lang w:val="ro-RO"/>
              </w:rPr>
              <w:t xml:space="preserve">Reţinerile din plăţile </w:t>
            </w:r>
            <w:proofErr w:type="spellStart"/>
            <w:r w:rsidR="00195370" w:rsidRPr="00195370">
              <w:rPr>
                <w:rFonts w:asciiTheme="majorHAnsi" w:hAnsiTheme="majorHAnsi" w:cstheme="minorHAnsi"/>
                <w:color w:val="000000" w:themeColor="text1"/>
              </w:rPr>
              <w:t>în</w:t>
            </w:r>
            <w:proofErr w:type="spellEnd"/>
            <w:r w:rsidR="00195370" w:rsidRPr="00195370">
              <w:rPr>
                <w:rFonts w:asciiTheme="majorHAnsi" w:hAnsiTheme="majorHAnsi" w:cstheme="minorHAnsi"/>
                <w:color w:val="000000" w:themeColor="text1"/>
              </w:rPr>
              <w:t xml:space="preserve"> </w:t>
            </w:r>
            <w:proofErr w:type="spellStart"/>
            <w:r w:rsidR="00195370" w:rsidRPr="00195370">
              <w:rPr>
                <w:rFonts w:asciiTheme="majorHAnsi" w:hAnsiTheme="majorHAnsi" w:cstheme="minorHAnsi"/>
                <w:color w:val="000000" w:themeColor="text1"/>
              </w:rPr>
              <w:t>beneficiul</w:t>
            </w:r>
            <w:proofErr w:type="spellEnd"/>
            <w:r w:rsidR="00195370" w:rsidRPr="00195370">
              <w:rPr>
                <w:rFonts w:asciiTheme="majorHAnsi" w:hAnsiTheme="majorHAnsi" w:cstheme="minorHAnsi"/>
                <w:color w:val="000000" w:themeColor="text1"/>
              </w:rPr>
              <w:t xml:space="preserve"> </w:t>
            </w:r>
            <w:proofErr w:type="spellStart"/>
            <w:r w:rsidR="00195370" w:rsidRPr="00195370">
              <w:rPr>
                <w:rFonts w:asciiTheme="majorHAnsi" w:hAnsiTheme="majorHAnsi" w:cstheme="minorHAnsi"/>
                <w:color w:val="000000" w:themeColor="text1"/>
              </w:rPr>
              <w:t>persoanelor</w:t>
            </w:r>
            <w:proofErr w:type="spellEnd"/>
            <w:r w:rsidR="00195370" w:rsidRPr="00195370">
              <w:rPr>
                <w:rFonts w:asciiTheme="majorHAnsi" w:hAnsiTheme="majorHAnsi" w:cstheme="minorHAnsi"/>
                <w:color w:val="000000" w:themeColor="text1"/>
              </w:rPr>
              <w:t xml:space="preserve"> </w:t>
            </w:r>
            <w:proofErr w:type="spellStart"/>
            <w:r w:rsidR="00195370" w:rsidRPr="00195370">
              <w:rPr>
                <w:rFonts w:asciiTheme="majorHAnsi" w:hAnsiTheme="majorHAnsi" w:cstheme="minorHAnsi"/>
                <w:color w:val="000000" w:themeColor="text1"/>
              </w:rPr>
              <w:t>fizice</w:t>
            </w:r>
            <w:proofErr w:type="spellEnd"/>
            <w:r w:rsidR="00195370" w:rsidRPr="00195370">
              <w:rPr>
                <w:rFonts w:asciiTheme="majorHAnsi" w:hAnsiTheme="majorHAnsi" w:cstheme="minorHAnsi"/>
                <w:color w:val="000000" w:themeColor="text1"/>
              </w:rPr>
              <w:t xml:space="preserve"> </w:t>
            </w:r>
            <w:proofErr w:type="spellStart"/>
            <w:r w:rsidR="00195370" w:rsidRPr="00195370">
              <w:rPr>
                <w:rFonts w:asciiTheme="majorHAnsi" w:hAnsiTheme="majorHAnsi" w:cstheme="minorHAnsi"/>
                <w:color w:val="000000" w:themeColor="text1"/>
              </w:rPr>
              <w:t>pentru</w:t>
            </w:r>
            <w:proofErr w:type="spellEnd"/>
            <w:r w:rsidR="00195370" w:rsidRPr="00195370">
              <w:rPr>
                <w:rFonts w:asciiTheme="majorHAnsi" w:hAnsiTheme="majorHAnsi" w:cstheme="minorHAnsi"/>
                <w:color w:val="000000" w:themeColor="text1"/>
              </w:rPr>
              <w:t xml:space="preserve"> </w:t>
            </w:r>
            <w:proofErr w:type="spellStart"/>
            <w:r w:rsidR="00195370" w:rsidRPr="00195370">
              <w:rPr>
                <w:rFonts w:asciiTheme="majorHAnsi" w:hAnsiTheme="majorHAnsi" w:cstheme="minorHAnsi"/>
                <w:color w:val="000000" w:themeColor="text1"/>
              </w:rPr>
              <w:t>recepţionarea</w:t>
            </w:r>
            <w:proofErr w:type="spellEnd"/>
            <w:r w:rsidR="00195370" w:rsidRPr="00195370">
              <w:rPr>
                <w:rFonts w:asciiTheme="majorHAnsi" w:hAnsiTheme="majorHAnsi" w:cstheme="minorHAnsi"/>
                <w:color w:val="000000" w:themeColor="text1"/>
              </w:rPr>
              <w:t xml:space="preserve"> </w:t>
            </w:r>
            <w:proofErr w:type="spellStart"/>
            <w:r w:rsidR="00195370" w:rsidRPr="00195370">
              <w:rPr>
                <w:rFonts w:asciiTheme="majorHAnsi" w:hAnsiTheme="majorHAnsi" w:cstheme="minorHAnsi"/>
                <w:color w:val="000000" w:themeColor="text1"/>
              </w:rPr>
              <w:t>ambalajului</w:t>
            </w:r>
            <w:proofErr w:type="spellEnd"/>
            <w:r w:rsidR="00195370" w:rsidRPr="00195370">
              <w:rPr>
                <w:rFonts w:asciiTheme="majorHAnsi" w:hAnsiTheme="majorHAnsi" w:cstheme="minorHAnsi"/>
                <w:color w:val="000000" w:themeColor="text1"/>
              </w:rPr>
              <w:t xml:space="preserve"> </w:t>
            </w:r>
            <w:proofErr w:type="spellStart"/>
            <w:r w:rsidR="00195370" w:rsidRPr="00195370">
              <w:rPr>
                <w:rFonts w:asciiTheme="majorHAnsi" w:hAnsiTheme="majorHAnsi" w:cstheme="minorHAnsi"/>
                <w:color w:val="000000" w:themeColor="text1"/>
              </w:rPr>
              <w:t>reciclabil</w:t>
            </w:r>
            <w:proofErr w:type="spellEnd"/>
          </w:p>
          <w:p w:rsidR="002D3B5E" w:rsidRPr="00195370" w:rsidRDefault="00DF4E3E" w:rsidP="00A40C0B">
            <w:pPr>
              <w:spacing w:before="120" w:after="120" w:line="240" w:lineRule="atLeast"/>
              <w:rPr>
                <w:rFonts w:asciiTheme="majorHAnsi" w:hAnsiTheme="majorHAnsi" w:cstheme="minorHAnsi"/>
                <w:color w:val="000000" w:themeColor="text1"/>
                <w:lang w:val="ro-RO"/>
              </w:rPr>
            </w:pPr>
            <w:r w:rsidRPr="001B1C1C">
              <w:rPr>
                <w:rFonts w:asciiTheme="majorHAnsi" w:hAnsiTheme="majorHAnsi" w:cstheme="minorHAnsi"/>
                <w:color w:val="000000" w:themeColor="text1"/>
                <w:lang w:val="ro-RO"/>
              </w:rPr>
              <w:t>Art. 20 şi 90 al C</w:t>
            </w:r>
            <w:r w:rsidR="00195370">
              <w:rPr>
                <w:rFonts w:asciiTheme="majorHAnsi" w:hAnsiTheme="majorHAnsi" w:cstheme="minorHAnsi"/>
                <w:color w:val="000000" w:themeColor="text1"/>
                <w:lang w:val="ro-RO"/>
              </w:rPr>
              <w:t>F</w:t>
            </w:r>
          </w:p>
        </w:tc>
        <w:tc>
          <w:tcPr>
            <w:tcW w:w="8750" w:type="dxa"/>
          </w:tcPr>
          <w:p w:rsidR="00195370" w:rsidRPr="00195370" w:rsidRDefault="00195370" w:rsidP="00195370">
            <w:pPr>
              <w:spacing w:before="120" w:after="120"/>
              <w:rPr>
                <w:rFonts w:asciiTheme="majorHAnsi" w:hAnsiTheme="majorHAnsi" w:cstheme="minorHAnsi"/>
                <w:color w:val="000000" w:themeColor="text1"/>
              </w:rPr>
            </w:pPr>
            <w:r w:rsidRPr="00195370">
              <w:rPr>
                <w:rFonts w:asciiTheme="majorHAnsi" w:hAnsiTheme="majorHAnsi" w:cstheme="minorHAnsi"/>
                <w:color w:val="000000" w:themeColor="text1"/>
              </w:rPr>
              <w:t xml:space="preserve">In </w:t>
            </w:r>
            <w:proofErr w:type="spellStart"/>
            <w:r w:rsidRPr="00195370">
              <w:rPr>
                <w:rFonts w:asciiTheme="majorHAnsi" w:hAnsiTheme="majorHAnsi" w:cstheme="minorHAnsi"/>
                <w:color w:val="000000" w:themeColor="text1"/>
              </w:rPr>
              <w:t>redacţia</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anului</w:t>
            </w:r>
            <w:proofErr w:type="spellEnd"/>
            <w:r w:rsidRPr="00195370">
              <w:rPr>
                <w:rFonts w:asciiTheme="majorHAnsi" w:hAnsiTheme="majorHAnsi" w:cstheme="minorHAnsi"/>
                <w:color w:val="000000" w:themeColor="text1"/>
              </w:rPr>
              <w:t xml:space="preserve"> 2012 la </w:t>
            </w:r>
            <w:proofErr w:type="spellStart"/>
            <w:r w:rsidRPr="00195370">
              <w:rPr>
                <w:rFonts w:asciiTheme="majorHAnsi" w:hAnsiTheme="majorHAnsi" w:cstheme="minorHAnsi"/>
                <w:color w:val="000000" w:themeColor="text1"/>
              </w:rPr>
              <w:t>efectuarea</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plăţilor</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pentru</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recepţionarea</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ambalajului</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reciclabil</w:t>
            </w:r>
            <w:proofErr w:type="spellEnd"/>
            <w:r w:rsidRPr="00195370">
              <w:rPr>
                <w:rFonts w:asciiTheme="majorHAnsi" w:hAnsiTheme="majorHAnsi" w:cstheme="minorHAnsi"/>
                <w:color w:val="000000" w:themeColor="text1"/>
              </w:rPr>
              <w:t xml:space="preserve"> de la </w:t>
            </w:r>
            <w:proofErr w:type="spellStart"/>
            <w:r w:rsidRPr="00195370">
              <w:rPr>
                <w:rFonts w:asciiTheme="majorHAnsi" w:hAnsiTheme="majorHAnsi" w:cstheme="minorHAnsi"/>
                <w:color w:val="000000" w:themeColor="text1"/>
              </w:rPr>
              <w:t>populaţie</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în</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conformitate</w:t>
            </w:r>
            <w:proofErr w:type="spellEnd"/>
            <w:r w:rsidRPr="00195370">
              <w:rPr>
                <w:rFonts w:asciiTheme="majorHAnsi" w:hAnsiTheme="majorHAnsi" w:cstheme="minorHAnsi"/>
                <w:color w:val="000000" w:themeColor="text1"/>
              </w:rPr>
              <w:t xml:space="preserve"> cu </w:t>
            </w:r>
            <w:proofErr w:type="spellStart"/>
            <w:r w:rsidRPr="00195370">
              <w:rPr>
                <w:rFonts w:asciiTheme="majorHAnsi" w:hAnsiTheme="majorHAnsi" w:cstheme="minorHAnsi"/>
                <w:color w:val="000000" w:themeColor="text1"/>
              </w:rPr>
              <w:t>prevederile</w:t>
            </w:r>
            <w:proofErr w:type="spellEnd"/>
            <w:r w:rsidRPr="00195370">
              <w:rPr>
                <w:rFonts w:asciiTheme="majorHAnsi" w:hAnsiTheme="majorHAnsi" w:cstheme="minorHAnsi"/>
                <w:color w:val="000000" w:themeColor="text1"/>
              </w:rPr>
              <w:t xml:space="preserve"> art. 90 al </w:t>
            </w:r>
            <w:proofErr w:type="spellStart"/>
            <w:r w:rsidRPr="00195370">
              <w:rPr>
                <w:rFonts w:asciiTheme="majorHAnsi" w:hAnsiTheme="majorHAnsi" w:cstheme="minorHAnsi"/>
                <w:color w:val="000000" w:themeColor="text1"/>
              </w:rPr>
              <w:t>Codului</w:t>
            </w:r>
            <w:proofErr w:type="spellEnd"/>
            <w:r w:rsidRPr="00195370">
              <w:rPr>
                <w:rFonts w:asciiTheme="majorHAnsi" w:hAnsiTheme="majorHAnsi" w:cstheme="minorHAnsi"/>
                <w:color w:val="000000" w:themeColor="text1"/>
              </w:rPr>
              <w:t xml:space="preserve"> Fiscal </w:t>
            </w:r>
            <w:proofErr w:type="spellStart"/>
            <w:r w:rsidRPr="00195370">
              <w:rPr>
                <w:rFonts w:asciiTheme="majorHAnsi" w:hAnsiTheme="majorHAnsi" w:cstheme="minorHAnsi"/>
                <w:color w:val="000000" w:themeColor="text1"/>
              </w:rPr>
              <w:t>companiile</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sunt</w:t>
            </w:r>
            <w:proofErr w:type="spellEnd"/>
            <w:r w:rsidRPr="00195370">
              <w:rPr>
                <w:rFonts w:asciiTheme="majorHAnsi" w:hAnsiTheme="majorHAnsi" w:cstheme="minorHAnsi"/>
                <w:color w:val="000000" w:themeColor="text1"/>
              </w:rPr>
              <w:t xml:space="preserve"> obligate </w:t>
            </w:r>
            <w:proofErr w:type="spellStart"/>
            <w:r w:rsidRPr="00195370">
              <w:rPr>
                <w:rFonts w:asciiTheme="majorHAnsi" w:hAnsiTheme="majorHAnsi" w:cstheme="minorHAnsi"/>
                <w:color w:val="000000" w:themeColor="text1"/>
              </w:rPr>
              <w:t>să</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reţină</w:t>
            </w:r>
            <w:proofErr w:type="spellEnd"/>
            <w:r w:rsidRPr="00195370">
              <w:rPr>
                <w:rFonts w:asciiTheme="majorHAnsi" w:hAnsiTheme="majorHAnsi" w:cstheme="minorHAnsi"/>
                <w:color w:val="000000" w:themeColor="text1"/>
              </w:rPr>
              <w:t xml:space="preserve"> la </w:t>
            </w:r>
            <w:proofErr w:type="spellStart"/>
            <w:r w:rsidRPr="00195370">
              <w:rPr>
                <w:rFonts w:asciiTheme="majorHAnsi" w:hAnsiTheme="majorHAnsi" w:cstheme="minorHAnsi"/>
                <w:color w:val="000000" w:themeColor="text1"/>
              </w:rPr>
              <w:t>sursa</w:t>
            </w:r>
            <w:proofErr w:type="spellEnd"/>
            <w:r w:rsidRPr="00195370">
              <w:rPr>
                <w:rFonts w:asciiTheme="majorHAnsi" w:hAnsiTheme="majorHAnsi" w:cstheme="minorHAnsi"/>
                <w:color w:val="000000" w:themeColor="text1"/>
              </w:rPr>
              <w:t xml:space="preserve"> de </w:t>
            </w:r>
            <w:proofErr w:type="spellStart"/>
            <w:r w:rsidRPr="00195370">
              <w:rPr>
                <w:rFonts w:asciiTheme="majorHAnsi" w:hAnsiTheme="majorHAnsi" w:cstheme="minorHAnsi"/>
                <w:color w:val="000000" w:themeColor="text1"/>
              </w:rPr>
              <w:t>plata</w:t>
            </w:r>
            <w:proofErr w:type="spellEnd"/>
            <w:r w:rsidRPr="00195370">
              <w:rPr>
                <w:rFonts w:asciiTheme="majorHAnsi" w:hAnsiTheme="majorHAnsi" w:cstheme="minorHAnsi"/>
                <w:color w:val="000000" w:themeColor="text1"/>
              </w:rPr>
              <w:t xml:space="preserve"> 7% cu </w:t>
            </w:r>
            <w:proofErr w:type="spellStart"/>
            <w:r w:rsidRPr="00195370">
              <w:rPr>
                <w:rFonts w:asciiTheme="majorHAnsi" w:hAnsiTheme="majorHAnsi" w:cstheme="minorHAnsi"/>
                <w:color w:val="000000" w:themeColor="text1"/>
              </w:rPr>
              <w:t>întocmirea</w:t>
            </w:r>
            <w:proofErr w:type="spellEnd"/>
            <w:r>
              <w:rPr>
                <w:rFonts w:asciiTheme="majorHAnsi" w:hAnsiTheme="majorHAnsi" w:cstheme="minorHAnsi"/>
                <w:color w:val="000000" w:themeColor="text1"/>
              </w:rPr>
              <w:t xml:space="preserve"> </w:t>
            </w:r>
            <w:proofErr w:type="spellStart"/>
            <w:r>
              <w:rPr>
                <w:rFonts w:asciiTheme="majorHAnsi" w:hAnsiTheme="majorHAnsi" w:cstheme="minorHAnsi"/>
                <w:color w:val="000000" w:themeColor="text1"/>
              </w:rPr>
              <w:t>documentelor</w:t>
            </w:r>
            <w:proofErr w:type="spellEnd"/>
            <w:r>
              <w:rPr>
                <w:rFonts w:asciiTheme="majorHAnsi" w:hAnsiTheme="majorHAnsi" w:cstheme="minorHAnsi"/>
                <w:color w:val="000000" w:themeColor="text1"/>
              </w:rPr>
              <w:t xml:space="preserve"> </w:t>
            </w:r>
            <w:proofErr w:type="spellStart"/>
            <w:r>
              <w:rPr>
                <w:rFonts w:asciiTheme="majorHAnsi" w:hAnsiTheme="majorHAnsi" w:cstheme="minorHAnsi"/>
                <w:color w:val="000000" w:themeColor="text1"/>
              </w:rPr>
              <w:t>primare</w:t>
            </w:r>
            <w:proofErr w:type="spellEnd"/>
            <w:r>
              <w:rPr>
                <w:rFonts w:asciiTheme="majorHAnsi" w:hAnsiTheme="majorHAnsi" w:cstheme="minorHAnsi"/>
                <w:color w:val="000000" w:themeColor="text1"/>
              </w:rPr>
              <w:t xml:space="preserve"> </w:t>
            </w:r>
            <w:proofErr w:type="spellStart"/>
            <w:r>
              <w:rPr>
                <w:rFonts w:asciiTheme="majorHAnsi" w:hAnsiTheme="majorHAnsi" w:cstheme="minorHAnsi"/>
                <w:color w:val="000000" w:themeColor="text1"/>
              </w:rPr>
              <w:t>necesare</w:t>
            </w:r>
            <w:proofErr w:type="spellEnd"/>
            <w:r>
              <w:rPr>
                <w:rFonts w:asciiTheme="majorHAnsi" w:hAnsiTheme="majorHAnsi" w:cstheme="minorHAnsi"/>
                <w:color w:val="000000" w:themeColor="text1"/>
              </w:rPr>
              <w:t>.</w:t>
            </w:r>
          </w:p>
          <w:p w:rsidR="00195370" w:rsidRPr="00195370" w:rsidRDefault="00195370" w:rsidP="00195370">
            <w:pPr>
              <w:spacing w:before="120" w:after="120"/>
              <w:rPr>
                <w:rFonts w:asciiTheme="majorHAnsi" w:hAnsiTheme="majorHAnsi" w:cstheme="minorHAnsi"/>
                <w:color w:val="000000" w:themeColor="text1"/>
              </w:rPr>
            </w:pPr>
            <w:proofErr w:type="spellStart"/>
            <w:r w:rsidRPr="00195370">
              <w:rPr>
                <w:rFonts w:asciiTheme="majorHAnsi" w:hAnsiTheme="majorHAnsi" w:cstheme="minorHAnsi"/>
                <w:color w:val="000000" w:themeColor="text1"/>
              </w:rPr>
              <w:t>Luând</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în</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considerare</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că</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ambalajul</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returnabil</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este</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repus</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în</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circuitul</w:t>
            </w:r>
            <w:proofErr w:type="spellEnd"/>
            <w:r w:rsidRPr="00195370">
              <w:rPr>
                <w:rFonts w:asciiTheme="majorHAnsi" w:hAnsiTheme="majorHAnsi" w:cstheme="minorHAnsi"/>
                <w:color w:val="000000" w:themeColor="text1"/>
              </w:rPr>
              <w:t xml:space="preserve"> economic de </w:t>
            </w:r>
            <w:proofErr w:type="spellStart"/>
            <w:r w:rsidRPr="00195370">
              <w:rPr>
                <w:rFonts w:asciiTheme="majorHAnsi" w:hAnsiTheme="majorHAnsi" w:cstheme="minorHAnsi"/>
                <w:color w:val="000000" w:themeColor="text1"/>
              </w:rPr>
              <w:t>cîteva</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ori</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valoarea</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acestuia</w:t>
            </w:r>
            <w:proofErr w:type="spellEnd"/>
            <w:r w:rsidRPr="00195370">
              <w:rPr>
                <w:rFonts w:asciiTheme="majorHAnsi" w:hAnsiTheme="majorHAnsi" w:cstheme="minorHAnsi"/>
                <w:color w:val="000000" w:themeColor="text1"/>
              </w:rPr>
              <w:t xml:space="preserve"> de </w:t>
            </w:r>
            <w:proofErr w:type="spellStart"/>
            <w:r w:rsidRPr="00195370">
              <w:rPr>
                <w:rFonts w:asciiTheme="majorHAnsi" w:hAnsiTheme="majorHAnsi" w:cstheme="minorHAnsi"/>
                <w:color w:val="000000" w:themeColor="text1"/>
              </w:rPr>
              <w:t>fapt</w:t>
            </w:r>
            <w:proofErr w:type="spellEnd"/>
            <w:r w:rsidRPr="00195370">
              <w:rPr>
                <w:rFonts w:asciiTheme="majorHAnsi" w:hAnsiTheme="majorHAnsi" w:cstheme="minorHAnsi"/>
                <w:color w:val="000000" w:themeColor="text1"/>
              </w:rPr>
              <w:t xml:space="preserve"> nu </w:t>
            </w:r>
            <w:proofErr w:type="spellStart"/>
            <w:r w:rsidRPr="00195370">
              <w:rPr>
                <w:rFonts w:asciiTheme="majorHAnsi" w:hAnsiTheme="majorHAnsi" w:cstheme="minorHAnsi"/>
                <w:color w:val="000000" w:themeColor="text1"/>
              </w:rPr>
              <w:t>reprezintă</w:t>
            </w:r>
            <w:proofErr w:type="spellEnd"/>
            <w:r w:rsidRPr="00195370">
              <w:rPr>
                <w:rFonts w:asciiTheme="majorHAnsi" w:hAnsiTheme="majorHAnsi" w:cstheme="minorHAnsi"/>
                <w:color w:val="000000" w:themeColor="text1"/>
              </w:rPr>
              <w:t xml:space="preserve"> un </w:t>
            </w:r>
            <w:proofErr w:type="spellStart"/>
            <w:r w:rsidRPr="00195370">
              <w:rPr>
                <w:rFonts w:asciiTheme="majorHAnsi" w:hAnsiTheme="majorHAnsi" w:cstheme="minorHAnsi"/>
                <w:color w:val="000000" w:themeColor="text1"/>
              </w:rPr>
              <w:t>venit</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pentru</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persoanele</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fizice</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ce</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il</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returnează</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precum</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si</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considerînd</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impactul</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asupra</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mediului</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şi</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promovarea</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reciclării</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ambalajului</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recomandăm</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inlcuderea</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normei</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privind</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neimpozitarea</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plăţilor</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către</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persoanele</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fizice</w:t>
            </w:r>
            <w:proofErr w:type="spellEnd"/>
            <w:r w:rsidRPr="00195370">
              <w:rPr>
                <w:rFonts w:asciiTheme="majorHAnsi" w:hAnsiTheme="majorHAnsi" w:cstheme="minorHAnsi"/>
                <w:color w:val="000000" w:themeColor="text1"/>
              </w:rPr>
              <w:t xml:space="preserve"> la </w:t>
            </w:r>
            <w:proofErr w:type="spellStart"/>
            <w:r w:rsidRPr="00195370">
              <w:rPr>
                <w:rFonts w:asciiTheme="majorHAnsi" w:hAnsiTheme="majorHAnsi" w:cstheme="minorHAnsi"/>
                <w:color w:val="000000" w:themeColor="text1"/>
              </w:rPr>
              <w:t>recepţionarea</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ambalajului</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reciclabil</w:t>
            </w:r>
            <w:proofErr w:type="spellEnd"/>
            <w:r w:rsidRPr="00195370">
              <w:rPr>
                <w:rFonts w:asciiTheme="majorHAnsi" w:hAnsiTheme="majorHAnsi" w:cstheme="minorHAnsi"/>
                <w:color w:val="000000" w:themeColor="text1"/>
              </w:rPr>
              <w:t>.</w:t>
            </w:r>
          </w:p>
          <w:p w:rsidR="00195370" w:rsidRPr="001B1C1C" w:rsidRDefault="00195370" w:rsidP="00195370">
            <w:pPr>
              <w:spacing w:before="120" w:after="120"/>
              <w:rPr>
                <w:rFonts w:asciiTheme="majorHAnsi" w:hAnsiTheme="majorHAnsi" w:cstheme="minorHAnsi"/>
                <w:color w:val="000000" w:themeColor="text1"/>
              </w:rPr>
            </w:pPr>
            <w:proofErr w:type="spellStart"/>
            <w:r w:rsidRPr="00195370">
              <w:rPr>
                <w:rFonts w:asciiTheme="majorHAnsi" w:hAnsiTheme="majorHAnsi" w:cstheme="minorHAnsi"/>
                <w:color w:val="000000" w:themeColor="text1"/>
              </w:rPr>
              <w:t>Respectiv</w:t>
            </w:r>
            <w:proofErr w:type="spellEnd"/>
            <w:r w:rsidRPr="00195370">
              <w:rPr>
                <w:rFonts w:asciiTheme="majorHAnsi" w:hAnsiTheme="majorHAnsi" w:cstheme="minorHAnsi"/>
                <w:color w:val="000000" w:themeColor="text1"/>
              </w:rPr>
              <w:t xml:space="preserve"> se </w:t>
            </w:r>
            <w:proofErr w:type="spellStart"/>
            <w:r w:rsidRPr="00195370">
              <w:rPr>
                <w:rFonts w:asciiTheme="majorHAnsi" w:hAnsiTheme="majorHAnsi" w:cstheme="minorHAnsi"/>
                <w:color w:val="000000" w:themeColor="text1"/>
              </w:rPr>
              <w:t>propune</w:t>
            </w:r>
            <w:proofErr w:type="spellEnd"/>
            <w:r w:rsidRPr="00195370">
              <w:rPr>
                <w:rFonts w:asciiTheme="majorHAnsi" w:hAnsiTheme="majorHAnsi" w:cstheme="minorHAnsi"/>
                <w:color w:val="000000" w:themeColor="text1"/>
              </w:rPr>
              <w:t xml:space="preserve"> de a include </w:t>
            </w:r>
            <w:proofErr w:type="spellStart"/>
            <w:r w:rsidRPr="00195370">
              <w:rPr>
                <w:rFonts w:asciiTheme="majorHAnsi" w:hAnsiTheme="majorHAnsi" w:cstheme="minorHAnsi"/>
                <w:color w:val="000000" w:themeColor="text1"/>
              </w:rPr>
              <w:t>în</w:t>
            </w:r>
            <w:proofErr w:type="spellEnd"/>
            <w:r w:rsidRPr="00195370">
              <w:rPr>
                <w:rFonts w:asciiTheme="majorHAnsi" w:hAnsiTheme="majorHAnsi" w:cstheme="minorHAnsi"/>
                <w:color w:val="000000" w:themeColor="text1"/>
              </w:rPr>
              <w:t xml:space="preserve"> art. 20 al </w:t>
            </w:r>
            <w:proofErr w:type="spellStart"/>
            <w:r w:rsidRPr="00195370">
              <w:rPr>
                <w:rFonts w:asciiTheme="majorHAnsi" w:hAnsiTheme="majorHAnsi" w:cstheme="minorHAnsi"/>
                <w:color w:val="000000" w:themeColor="text1"/>
              </w:rPr>
              <w:t>Codului</w:t>
            </w:r>
            <w:proofErr w:type="spellEnd"/>
            <w:r w:rsidRPr="00195370">
              <w:rPr>
                <w:rFonts w:asciiTheme="majorHAnsi" w:hAnsiTheme="majorHAnsi" w:cstheme="minorHAnsi"/>
                <w:color w:val="000000" w:themeColor="text1"/>
              </w:rPr>
              <w:t xml:space="preserve"> Fiscal a </w:t>
            </w:r>
            <w:proofErr w:type="spellStart"/>
            <w:r w:rsidRPr="00195370">
              <w:rPr>
                <w:rFonts w:asciiTheme="majorHAnsi" w:hAnsiTheme="majorHAnsi" w:cstheme="minorHAnsi"/>
                <w:color w:val="000000" w:themeColor="text1"/>
              </w:rPr>
              <w:t>plăţilor</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în</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favoarea</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persoanelor</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fizice</w:t>
            </w:r>
            <w:proofErr w:type="spellEnd"/>
            <w:r w:rsidRPr="00195370">
              <w:rPr>
                <w:rFonts w:asciiTheme="majorHAnsi" w:hAnsiTheme="majorHAnsi" w:cstheme="minorHAnsi"/>
                <w:color w:val="000000" w:themeColor="text1"/>
              </w:rPr>
              <w:t xml:space="preserve"> de la </w:t>
            </w:r>
            <w:proofErr w:type="spellStart"/>
            <w:r w:rsidRPr="00195370">
              <w:rPr>
                <w:rFonts w:asciiTheme="majorHAnsi" w:hAnsiTheme="majorHAnsi" w:cstheme="minorHAnsi"/>
                <w:color w:val="000000" w:themeColor="text1"/>
              </w:rPr>
              <w:t>recepţionarea</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ambalajului</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reciclabil</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drept</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surse</w:t>
            </w:r>
            <w:proofErr w:type="spellEnd"/>
            <w:r w:rsidRPr="00195370">
              <w:rPr>
                <w:rFonts w:asciiTheme="majorHAnsi" w:hAnsiTheme="majorHAnsi" w:cstheme="minorHAnsi"/>
                <w:color w:val="000000" w:themeColor="text1"/>
              </w:rPr>
              <w:t xml:space="preserve"> de </w:t>
            </w:r>
            <w:proofErr w:type="spellStart"/>
            <w:r w:rsidRPr="00195370">
              <w:rPr>
                <w:rFonts w:asciiTheme="majorHAnsi" w:hAnsiTheme="majorHAnsi" w:cstheme="minorHAnsi"/>
                <w:color w:val="000000" w:themeColor="text1"/>
              </w:rPr>
              <w:t>venituri</w:t>
            </w:r>
            <w:proofErr w:type="spellEnd"/>
            <w:r w:rsidRPr="00195370">
              <w:rPr>
                <w:rFonts w:asciiTheme="majorHAnsi" w:hAnsiTheme="majorHAnsi" w:cstheme="minorHAnsi"/>
                <w:color w:val="000000" w:themeColor="text1"/>
              </w:rPr>
              <w:t xml:space="preserve"> </w:t>
            </w:r>
            <w:proofErr w:type="spellStart"/>
            <w:r w:rsidRPr="00195370">
              <w:rPr>
                <w:rFonts w:asciiTheme="majorHAnsi" w:hAnsiTheme="majorHAnsi" w:cstheme="minorHAnsi"/>
                <w:color w:val="000000" w:themeColor="text1"/>
              </w:rPr>
              <w:t>neimpozabile</w:t>
            </w:r>
            <w:proofErr w:type="spellEnd"/>
            <w:r w:rsidRPr="00195370">
              <w:rPr>
                <w:rFonts w:asciiTheme="majorHAnsi" w:hAnsiTheme="majorHAnsi" w:cstheme="minorHAnsi"/>
                <w:color w:val="000000" w:themeColor="text1"/>
              </w:rPr>
              <w:t>.</w:t>
            </w:r>
          </w:p>
        </w:tc>
      </w:tr>
    </w:tbl>
    <w:p w:rsidR="00944681" w:rsidRPr="001B1C1C" w:rsidRDefault="00944681" w:rsidP="00C2779A">
      <w:pPr>
        <w:spacing w:after="0" w:line="240" w:lineRule="auto"/>
        <w:jc w:val="both"/>
        <w:rPr>
          <w:rFonts w:asciiTheme="majorHAnsi" w:hAnsiTheme="majorHAnsi" w:cstheme="minorHAnsi"/>
          <w:lang w:val="ro-RO"/>
        </w:rPr>
      </w:pPr>
    </w:p>
    <w:p w:rsidR="00C2779A" w:rsidRPr="001B1C1C" w:rsidRDefault="00C2779A" w:rsidP="00C2779A">
      <w:pPr>
        <w:spacing w:after="0" w:line="240" w:lineRule="auto"/>
        <w:jc w:val="both"/>
        <w:rPr>
          <w:rFonts w:asciiTheme="majorHAnsi" w:hAnsiTheme="majorHAnsi" w:cstheme="minorHAnsi"/>
          <w:lang w:val="ro-RO"/>
        </w:rPr>
      </w:pPr>
    </w:p>
    <w:p w:rsidR="009016CA" w:rsidRPr="001B1C1C" w:rsidRDefault="001F6166" w:rsidP="00404348">
      <w:pPr>
        <w:pStyle w:val="af6"/>
        <w:numPr>
          <w:ilvl w:val="0"/>
          <w:numId w:val="34"/>
        </w:numPr>
        <w:spacing w:after="0" w:line="240" w:lineRule="auto"/>
        <w:jc w:val="both"/>
        <w:rPr>
          <w:rFonts w:asciiTheme="majorHAnsi" w:hAnsiTheme="majorHAnsi" w:cstheme="minorHAnsi"/>
          <w:b/>
          <w:i/>
          <w:u w:val="single"/>
          <w:lang w:val="ro-MO"/>
        </w:rPr>
      </w:pPr>
      <w:r w:rsidRPr="001B1C1C">
        <w:rPr>
          <w:rFonts w:asciiTheme="majorHAnsi" w:hAnsiTheme="majorHAnsi" w:cstheme="minorHAnsi"/>
          <w:b/>
          <w:i/>
          <w:u w:val="single"/>
          <w:lang w:val="ro-MO"/>
        </w:rPr>
        <w:t xml:space="preserve">Taxa pe valoarea </w:t>
      </w:r>
      <w:r w:rsidR="009016CA" w:rsidRPr="001B1C1C">
        <w:rPr>
          <w:rFonts w:asciiTheme="majorHAnsi" w:hAnsiTheme="majorHAnsi" w:cstheme="minorHAnsi"/>
          <w:b/>
          <w:i/>
          <w:u w:val="single"/>
          <w:lang w:val="ro-MO"/>
        </w:rPr>
        <w:t>adăugată</w:t>
      </w:r>
    </w:p>
    <w:p w:rsidR="009016CA" w:rsidRPr="001B1C1C" w:rsidRDefault="009016CA" w:rsidP="00C2779A">
      <w:pPr>
        <w:spacing w:after="0" w:line="240" w:lineRule="auto"/>
        <w:jc w:val="both"/>
        <w:rPr>
          <w:rFonts w:asciiTheme="majorHAnsi" w:hAnsiTheme="majorHAnsi" w:cstheme="minorHAnsi"/>
          <w:lang w:val="ro-RO"/>
        </w:rPr>
      </w:pPr>
    </w:p>
    <w:tbl>
      <w:tblPr>
        <w:tblStyle w:val="af5"/>
        <w:tblW w:w="11520" w:type="dxa"/>
        <w:tblInd w:w="-162" w:type="dxa"/>
        <w:tblLook w:val="04A0"/>
      </w:tblPr>
      <w:tblGrid>
        <w:gridCol w:w="360"/>
        <w:gridCol w:w="2340"/>
        <w:gridCol w:w="8820"/>
      </w:tblGrid>
      <w:tr w:rsidR="00A40C0B" w:rsidRPr="001B1C1C" w:rsidTr="001331E0">
        <w:trPr>
          <w:trHeight w:val="70"/>
        </w:trPr>
        <w:tc>
          <w:tcPr>
            <w:tcW w:w="360" w:type="dxa"/>
          </w:tcPr>
          <w:p w:rsidR="00A40C0B" w:rsidRPr="001B1C1C" w:rsidRDefault="00A40C0B" w:rsidP="00A40C0B">
            <w:pPr>
              <w:tabs>
                <w:tab w:val="left" w:pos="1080"/>
              </w:tabs>
              <w:spacing w:before="120" w:after="120"/>
              <w:rPr>
                <w:rFonts w:asciiTheme="majorHAnsi" w:hAnsiTheme="majorHAnsi" w:cstheme="minorHAnsi"/>
                <w:lang w:val="ro-RO"/>
              </w:rPr>
            </w:pPr>
          </w:p>
        </w:tc>
        <w:tc>
          <w:tcPr>
            <w:tcW w:w="2340" w:type="dxa"/>
          </w:tcPr>
          <w:p w:rsidR="00A40C0B" w:rsidRPr="001B1C1C" w:rsidRDefault="00A40C0B" w:rsidP="00A40C0B">
            <w:pPr>
              <w:pStyle w:val="a2"/>
              <w:spacing w:before="120" w:after="120"/>
              <w:jc w:val="center"/>
              <w:rPr>
                <w:rFonts w:asciiTheme="majorHAnsi" w:hAnsiTheme="majorHAnsi" w:cstheme="minorHAnsi"/>
                <w:b/>
                <w:lang w:val="ro-RO"/>
              </w:rPr>
            </w:pPr>
            <w:r w:rsidRPr="001B1C1C">
              <w:rPr>
                <w:rFonts w:asciiTheme="majorHAnsi" w:hAnsiTheme="majorHAnsi" w:cstheme="minorHAnsi"/>
                <w:b/>
                <w:lang w:val="ro-RO"/>
              </w:rPr>
              <w:t>Concept</w:t>
            </w:r>
          </w:p>
        </w:tc>
        <w:tc>
          <w:tcPr>
            <w:tcW w:w="8820" w:type="dxa"/>
          </w:tcPr>
          <w:p w:rsidR="00A40C0B" w:rsidRPr="001B1C1C" w:rsidRDefault="00A40C0B" w:rsidP="00A40C0B">
            <w:pPr>
              <w:pStyle w:val="a2"/>
              <w:spacing w:before="120" w:after="120"/>
              <w:jc w:val="center"/>
              <w:rPr>
                <w:rFonts w:asciiTheme="majorHAnsi" w:hAnsiTheme="majorHAnsi" w:cstheme="minorHAnsi"/>
                <w:b/>
                <w:lang w:val="ro-RO"/>
              </w:rPr>
            </w:pPr>
            <w:r w:rsidRPr="001B1C1C">
              <w:rPr>
                <w:rFonts w:asciiTheme="majorHAnsi" w:hAnsiTheme="majorHAnsi" w:cstheme="minorHAnsi"/>
                <w:b/>
                <w:lang w:val="ro-RO"/>
              </w:rPr>
              <w:t>Comentarii / Recomandări</w:t>
            </w:r>
          </w:p>
        </w:tc>
      </w:tr>
      <w:tr w:rsidR="00A40C0B" w:rsidRPr="001B1C1C" w:rsidTr="001331E0">
        <w:trPr>
          <w:trHeight w:val="70"/>
        </w:trPr>
        <w:tc>
          <w:tcPr>
            <w:tcW w:w="360" w:type="dxa"/>
          </w:tcPr>
          <w:p w:rsidR="00A40C0B" w:rsidRPr="008A0186" w:rsidRDefault="001B1C1C" w:rsidP="00A40C0B">
            <w:pPr>
              <w:tabs>
                <w:tab w:val="left" w:pos="1080"/>
              </w:tabs>
              <w:spacing w:before="120" w:after="120"/>
              <w:rPr>
                <w:rFonts w:asciiTheme="majorHAnsi" w:hAnsiTheme="majorHAnsi" w:cstheme="minorHAnsi"/>
                <w:lang w:val="ro-RO"/>
              </w:rPr>
            </w:pPr>
            <w:r w:rsidRPr="008A0186">
              <w:rPr>
                <w:rFonts w:asciiTheme="majorHAnsi" w:hAnsiTheme="majorHAnsi" w:cstheme="minorHAnsi"/>
                <w:lang w:val="ro-RO"/>
              </w:rPr>
              <w:t>1</w:t>
            </w:r>
          </w:p>
        </w:tc>
        <w:tc>
          <w:tcPr>
            <w:tcW w:w="2340" w:type="dxa"/>
          </w:tcPr>
          <w:p w:rsidR="00A40C0B" w:rsidRPr="008A0186" w:rsidRDefault="00A40C0B" w:rsidP="00A40C0B">
            <w:pPr>
              <w:tabs>
                <w:tab w:val="left" w:pos="1080"/>
              </w:tabs>
              <w:spacing w:before="120" w:after="120" w:line="240" w:lineRule="atLeast"/>
              <w:rPr>
                <w:rFonts w:asciiTheme="majorHAnsi" w:hAnsiTheme="majorHAnsi" w:cstheme="minorHAnsi"/>
              </w:rPr>
            </w:pPr>
            <w:r w:rsidRPr="008A0186">
              <w:rPr>
                <w:rFonts w:asciiTheme="majorHAnsi" w:hAnsiTheme="majorHAnsi" w:cstheme="minorHAnsi"/>
                <w:lang w:val="ro-RO" w:eastAsia="ru-RU"/>
              </w:rPr>
              <w:t xml:space="preserve">Introducerea unei noi lit. e) la art. 95, alin. (2), </w:t>
            </w:r>
            <w:r w:rsidRPr="008A0186">
              <w:rPr>
                <w:rFonts w:asciiTheme="majorHAnsi" w:hAnsiTheme="majorHAnsi" w:cstheme="minorHAnsi"/>
              </w:rPr>
              <w:t>al CF “</w:t>
            </w:r>
            <w:r w:rsidRPr="008A0186">
              <w:rPr>
                <w:rFonts w:asciiTheme="majorHAnsi" w:hAnsiTheme="majorHAnsi" w:cstheme="minorHAnsi"/>
                <w:lang w:val="it-IT"/>
              </w:rPr>
              <w:t>Obiectele impozabile</w:t>
            </w:r>
            <w:r w:rsidRPr="008A0186">
              <w:rPr>
                <w:rFonts w:asciiTheme="majorHAnsi" w:hAnsiTheme="majorHAnsi" w:cstheme="minorHAnsi"/>
              </w:rPr>
              <w:t>”</w:t>
            </w:r>
          </w:p>
        </w:tc>
        <w:tc>
          <w:tcPr>
            <w:tcW w:w="8820" w:type="dxa"/>
          </w:tcPr>
          <w:p w:rsidR="008A0186" w:rsidRPr="008A0186" w:rsidRDefault="008A0186" w:rsidP="008A0186">
            <w:pPr>
              <w:spacing w:before="120" w:after="120" w:line="240" w:lineRule="atLeast"/>
              <w:rPr>
                <w:rFonts w:asciiTheme="majorHAnsi" w:hAnsiTheme="majorHAnsi" w:cstheme="minorHAnsi"/>
                <w:color w:val="000000"/>
                <w:lang w:val="ro-RO"/>
              </w:rPr>
            </w:pPr>
            <w:r w:rsidRPr="008A0186">
              <w:rPr>
                <w:rFonts w:asciiTheme="majorHAnsi" w:hAnsiTheme="majorHAnsi" w:cstheme="minorHAnsi"/>
                <w:color w:val="000000"/>
                <w:lang w:val="ro-RO"/>
              </w:rPr>
              <w:t>Propunem introducerea la art. 95, alin. (2) a unor noi prevederi şi anume:</w:t>
            </w:r>
          </w:p>
          <w:p w:rsidR="008A0186" w:rsidRPr="008A0186" w:rsidRDefault="008A0186" w:rsidP="008A0186">
            <w:pPr>
              <w:spacing w:before="120" w:after="120" w:line="240" w:lineRule="atLeast"/>
              <w:rPr>
                <w:rFonts w:asciiTheme="majorHAnsi" w:hAnsiTheme="majorHAnsi" w:cstheme="minorHAnsi"/>
                <w:i/>
                <w:color w:val="000000"/>
                <w:lang w:val="ro-RO"/>
              </w:rPr>
            </w:pPr>
            <w:r w:rsidRPr="008A0186">
              <w:rPr>
                <w:rFonts w:asciiTheme="majorHAnsi" w:hAnsiTheme="majorHAnsi" w:cstheme="minorHAnsi"/>
                <w:i/>
                <w:color w:val="000000"/>
                <w:lang w:val="ro-RO"/>
              </w:rPr>
              <w:t>„e) stocurile de mărfuri şi materiale degradate calitativ, care nu mai pot fi valorificate (ex. nu pot fi revândute), precum şi activele materiale pe termen lung casate, dacă sunt îndeplinite în mod cumulativ următoarele condiţii:</w:t>
            </w:r>
          </w:p>
          <w:p w:rsidR="008A0186" w:rsidRPr="008A0186" w:rsidRDefault="008A0186" w:rsidP="008A0186">
            <w:pPr>
              <w:spacing w:before="120" w:after="120" w:line="240" w:lineRule="atLeast"/>
              <w:rPr>
                <w:rFonts w:asciiTheme="majorHAnsi" w:hAnsiTheme="majorHAnsi" w:cstheme="minorHAnsi"/>
                <w:i/>
                <w:color w:val="000000"/>
                <w:lang w:val="ro-RO"/>
              </w:rPr>
            </w:pPr>
            <w:r w:rsidRPr="008A0186">
              <w:rPr>
                <w:rFonts w:asciiTheme="majorHAnsi" w:hAnsiTheme="majorHAnsi" w:cstheme="minorHAnsi"/>
                <w:i/>
                <w:color w:val="000000"/>
                <w:lang w:val="ro-RO"/>
              </w:rPr>
              <w:t>- valoarea mărfurilor, materialelor şi a activelor pe termen lung nu poate fi recuperată;</w:t>
            </w:r>
          </w:p>
          <w:p w:rsidR="008A0186" w:rsidRPr="008A0186" w:rsidRDefault="008A0186" w:rsidP="008A0186">
            <w:pPr>
              <w:spacing w:before="120" w:after="120" w:line="240" w:lineRule="atLeast"/>
              <w:rPr>
                <w:rFonts w:asciiTheme="majorHAnsi" w:hAnsiTheme="majorHAnsi" w:cstheme="minorHAnsi"/>
                <w:i/>
                <w:color w:val="000000"/>
                <w:lang w:val="ro-RO"/>
              </w:rPr>
            </w:pPr>
            <w:r w:rsidRPr="008A0186">
              <w:rPr>
                <w:rFonts w:asciiTheme="majorHAnsi" w:hAnsiTheme="majorHAnsi" w:cstheme="minorHAnsi"/>
                <w:i/>
                <w:color w:val="000000"/>
                <w:lang w:val="ro-RO"/>
              </w:rPr>
              <w:t>- degradarea calitativă, casarea se datorează unor cauze obiective dovedite cu documente justificative;</w:t>
            </w:r>
          </w:p>
          <w:p w:rsidR="008A0186" w:rsidRPr="008A0186" w:rsidRDefault="008A0186" w:rsidP="008A0186">
            <w:pPr>
              <w:spacing w:before="120" w:after="120" w:line="240" w:lineRule="atLeast"/>
              <w:rPr>
                <w:rFonts w:asciiTheme="majorHAnsi" w:hAnsiTheme="majorHAnsi" w:cstheme="minorHAnsi"/>
                <w:i/>
                <w:color w:val="000000"/>
                <w:lang w:val="ro-RO"/>
              </w:rPr>
            </w:pPr>
            <w:r w:rsidRPr="008A0186">
              <w:rPr>
                <w:rFonts w:asciiTheme="majorHAnsi" w:hAnsiTheme="majorHAnsi" w:cstheme="minorHAnsi"/>
                <w:i/>
                <w:color w:val="000000"/>
                <w:lang w:val="ro-RO"/>
              </w:rPr>
              <w:lastRenderedPageBreak/>
              <w:t>- se face dovada că s-au distrus bunurile şi nu mai intră în circuitul economic.”</w:t>
            </w:r>
          </w:p>
          <w:p w:rsidR="008A0186" w:rsidRPr="008A0186" w:rsidRDefault="008A0186" w:rsidP="008A0186">
            <w:pPr>
              <w:spacing w:before="120" w:after="120" w:line="240" w:lineRule="atLeast"/>
              <w:rPr>
                <w:rFonts w:asciiTheme="majorHAnsi" w:hAnsiTheme="majorHAnsi" w:cstheme="minorHAnsi"/>
                <w:color w:val="000000"/>
                <w:lang w:val="ro-RO"/>
              </w:rPr>
            </w:pPr>
            <w:r w:rsidRPr="008A0186">
              <w:rPr>
                <w:rFonts w:asciiTheme="majorHAnsi" w:hAnsiTheme="majorHAnsi" w:cstheme="minorHAnsi"/>
                <w:color w:val="000000"/>
                <w:lang w:val="ro-RO"/>
              </w:rPr>
              <w:t xml:space="preserve">Actualmente este considerat că TVA dedusă la achiziţia de bunuri care ulterior, ca urmare a unor procese, au fost distruse şi nu pot fi revândute sau utilizate în continuare în cadrul activităţii de întreprinzător, nu urmează a fi trecută în cont. Mai mult decît atît, pentru mijloacele fixe casate care au o valoare de bilant, conform normei art. 104 (4) al Codului Fiscal TVA nu se va accepta la deduceri de la valoarea care nu a fost supusă  uzurii. </w:t>
            </w:r>
          </w:p>
          <w:p w:rsidR="008A0186" w:rsidRPr="008A0186" w:rsidRDefault="008A0186" w:rsidP="008A0186">
            <w:pPr>
              <w:spacing w:before="120" w:after="120" w:line="240" w:lineRule="atLeast"/>
              <w:rPr>
                <w:rFonts w:asciiTheme="majorHAnsi" w:hAnsiTheme="majorHAnsi" w:cstheme="minorHAnsi"/>
                <w:color w:val="000000"/>
                <w:lang w:val="ro-RO"/>
              </w:rPr>
            </w:pPr>
            <w:r w:rsidRPr="008A0186">
              <w:rPr>
                <w:rFonts w:asciiTheme="majorHAnsi" w:hAnsiTheme="majorHAnsi" w:cstheme="minorHAnsi"/>
                <w:color w:val="000000"/>
                <w:lang w:val="ro-RO"/>
              </w:rPr>
              <w:t>Adică, se consideră că TVA anterior dedusă ar urma să fie ajustată la data casării, deoarece art. 102 alin. (1) al CF prevede că TVA achitată la buget de către plătitorii TVA este permisă de a fi trecută în cont dacă valorile materiale, serviciile procurate sunt destinate efectuării livrărilor impozabile</w:t>
            </w:r>
            <w:r w:rsidRPr="008A0186">
              <w:rPr>
                <w:rFonts w:asciiTheme="majorHAnsi" w:hAnsiTheme="majorHAnsi" w:cstheme="minorHAnsi"/>
                <w:b/>
                <w:bCs/>
                <w:color w:val="000000"/>
                <w:lang w:val="ro-RO"/>
              </w:rPr>
              <w:t xml:space="preserve"> </w:t>
            </w:r>
            <w:r w:rsidRPr="008A0186">
              <w:rPr>
                <w:rFonts w:asciiTheme="majorHAnsi" w:hAnsiTheme="majorHAnsi" w:cstheme="minorHAnsi"/>
                <w:bCs/>
                <w:color w:val="000000"/>
                <w:u w:val="single"/>
                <w:lang w:val="ro-RO"/>
              </w:rPr>
              <w:t>în procesul desfăşurării activităţii de întreprinzător</w:t>
            </w:r>
            <w:r w:rsidRPr="008A0186">
              <w:rPr>
                <w:rFonts w:asciiTheme="majorHAnsi" w:hAnsiTheme="majorHAnsi" w:cstheme="minorHAnsi"/>
                <w:bCs/>
                <w:color w:val="000000"/>
                <w:lang w:val="ro-RO"/>
              </w:rPr>
              <w:t>.Î</w:t>
            </w:r>
            <w:r w:rsidRPr="008A0186">
              <w:rPr>
                <w:rFonts w:asciiTheme="majorHAnsi" w:hAnsiTheme="majorHAnsi" w:cstheme="minorHAnsi"/>
                <w:color w:val="000000"/>
                <w:lang w:val="ro-RO"/>
              </w:rPr>
              <w:t>n practică, se consideră că casarea unor bunuri distruse nu presupune utilizarea lor în continuare în activitatea de întreprinzător.</w:t>
            </w:r>
          </w:p>
          <w:p w:rsidR="008A0186" w:rsidRPr="008A0186" w:rsidRDefault="008A0186" w:rsidP="008A0186">
            <w:pPr>
              <w:spacing w:before="120" w:after="120" w:line="240" w:lineRule="atLeast"/>
              <w:rPr>
                <w:rFonts w:asciiTheme="majorHAnsi" w:hAnsiTheme="majorHAnsi" w:cstheme="minorHAnsi"/>
                <w:color w:val="000000"/>
                <w:u w:val="single"/>
                <w:lang w:val="ro-RO"/>
              </w:rPr>
            </w:pPr>
            <w:r w:rsidRPr="008A0186">
              <w:rPr>
                <w:rFonts w:asciiTheme="majorHAnsi" w:hAnsiTheme="majorHAnsi" w:cstheme="minorHAnsi"/>
                <w:color w:val="000000"/>
                <w:lang w:val="ro-RO"/>
              </w:rPr>
              <w:t xml:space="preserve">Casarea unor astfel de bunuri </w:t>
            </w:r>
            <w:r w:rsidRPr="008A0186">
              <w:rPr>
                <w:rFonts w:asciiTheme="majorHAnsi" w:hAnsiTheme="majorHAnsi" w:cstheme="minorHAnsi"/>
                <w:color w:val="000000"/>
                <w:u w:val="single"/>
                <w:lang w:val="ro-RO"/>
              </w:rPr>
              <w:t>nu reprezintă un transfer al dreptului de proprietate</w:t>
            </w:r>
            <w:r w:rsidRPr="008A0186">
              <w:rPr>
                <w:rFonts w:asciiTheme="majorHAnsi" w:hAnsiTheme="majorHAnsi" w:cstheme="minorHAnsi"/>
                <w:color w:val="000000"/>
                <w:lang w:val="ro-RO"/>
              </w:rPr>
              <w:t xml:space="preserve"> asupra lor şi nu ar urma să fie considerată o „livrare impozabilă” care sa presupună calcularea TVA. Mai mult decât atât, necesitatea casării activelor materiale nu semnifică faptul ca acestea nu au fost utilizate deja în cadrul activităţii de întreprinzător pentru efectuarea livrărilor impozabile.</w:t>
            </w:r>
          </w:p>
          <w:p w:rsidR="00A40C0B" w:rsidRPr="008A0186" w:rsidRDefault="008A0186" w:rsidP="005F31DE">
            <w:pPr>
              <w:widowControl w:val="0"/>
              <w:autoSpaceDE w:val="0"/>
              <w:autoSpaceDN w:val="0"/>
              <w:adjustRightInd w:val="0"/>
              <w:spacing w:before="120" w:after="120" w:line="240" w:lineRule="atLeast"/>
              <w:rPr>
                <w:rFonts w:asciiTheme="majorHAnsi" w:hAnsiTheme="majorHAnsi" w:cstheme="minorHAnsi"/>
                <w:color w:val="000000"/>
                <w:lang w:val="ro-RO"/>
              </w:rPr>
            </w:pPr>
            <w:r w:rsidRPr="008A0186">
              <w:rPr>
                <w:rFonts w:asciiTheme="majorHAnsi" w:hAnsiTheme="majorHAnsi" w:cstheme="minorHAnsi"/>
                <w:color w:val="000000"/>
                <w:lang w:val="ro-RO"/>
              </w:rPr>
              <w:t>Vrem să menţionăm că norma propusă mai sus de a fi introdusă la art. 95, alin. (2), lit. e) există în legislaţia fiscală a altor ţări.</w:t>
            </w:r>
          </w:p>
        </w:tc>
      </w:tr>
      <w:tr w:rsidR="001331E0" w:rsidRPr="001B1C1C" w:rsidTr="001331E0">
        <w:tc>
          <w:tcPr>
            <w:tcW w:w="360" w:type="dxa"/>
          </w:tcPr>
          <w:p w:rsidR="001331E0" w:rsidRPr="001B1C1C" w:rsidRDefault="001331E0" w:rsidP="001331E0">
            <w:pPr>
              <w:tabs>
                <w:tab w:val="left" w:pos="1080"/>
              </w:tabs>
              <w:spacing w:before="120" w:after="120" w:line="240" w:lineRule="atLeast"/>
              <w:rPr>
                <w:rFonts w:asciiTheme="majorHAnsi" w:hAnsiTheme="majorHAnsi" w:cstheme="minorHAnsi"/>
                <w:lang w:val="ro-RO"/>
              </w:rPr>
            </w:pPr>
            <w:r w:rsidRPr="001B1C1C">
              <w:rPr>
                <w:rFonts w:asciiTheme="majorHAnsi" w:hAnsiTheme="majorHAnsi" w:cstheme="minorHAnsi"/>
                <w:lang w:val="ro-RO"/>
              </w:rPr>
              <w:lastRenderedPageBreak/>
              <w:t>2</w:t>
            </w:r>
          </w:p>
        </w:tc>
        <w:tc>
          <w:tcPr>
            <w:tcW w:w="2340" w:type="dxa"/>
          </w:tcPr>
          <w:p w:rsidR="001331E0" w:rsidRPr="001B1C1C" w:rsidRDefault="001331E0" w:rsidP="001331E0">
            <w:pPr>
              <w:tabs>
                <w:tab w:val="left" w:pos="1080"/>
              </w:tabs>
              <w:spacing w:before="120" w:after="120" w:line="240" w:lineRule="atLeast"/>
              <w:rPr>
                <w:rFonts w:asciiTheme="majorHAnsi" w:hAnsiTheme="majorHAnsi" w:cstheme="minorHAnsi"/>
                <w:i/>
                <w:lang w:val="ro-RO"/>
              </w:rPr>
            </w:pPr>
            <w:r w:rsidRPr="001B1C1C">
              <w:rPr>
                <w:rFonts w:asciiTheme="majorHAnsi" w:hAnsiTheme="majorHAnsi" w:cstheme="minorHAnsi"/>
                <w:i/>
                <w:lang w:val="ro-RO"/>
              </w:rPr>
              <w:t>„Introducerea cotei standard TVA de 20% pentru producţia agricolă primară în schimbul cotei reduse a TVA de 8%, cu restituirea (subvenţionarea) directă din partea statului.”</w:t>
            </w:r>
          </w:p>
          <w:p w:rsidR="001331E0" w:rsidRPr="001B1C1C" w:rsidRDefault="001331E0" w:rsidP="001331E0">
            <w:pPr>
              <w:tabs>
                <w:tab w:val="left" w:pos="1080"/>
              </w:tabs>
              <w:spacing w:before="120" w:after="120" w:line="240" w:lineRule="atLeast"/>
              <w:rPr>
                <w:rFonts w:asciiTheme="majorHAnsi" w:hAnsiTheme="majorHAnsi" w:cstheme="minorHAnsi"/>
                <w:i/>
                <w:lang w:val="ro-RO"/>
              </w:rPr>
            </w:pPr>
          </w:p>
          <w:p w:rsidR="001331E0" w:rsidRPr="001B1C1C" w:rsidRDefault="001331E0" w:rsidP="001331E0">
            <w:pPr>
              <w:tabs>
                <w:tab w:val="left" w:pos="1080"/>
              </w:tabs>
              <w:spacing w:before="120" w:after="120" w:line="240" w:lineRule="atLeast"/>
              <w:rPr>
                <w:rFonts w:asciiTheme="majorHAnsi" w:hAnsiTheme="majorHAnsi" w:cstheme="minorHAnsi"/>
                <w:i/>
                <w:lang w:val="ro-RO"/>
              </w:rPr>
            </w:pPr>
          </w:p>
        </w:tc>
        <w:tc>
          <w:tcPr>
            <w:tcW w:w="8820" w:type="dxa"/>
          </w:tcPr>
          <w:p w:rsidR="008352C7" w:rsidRDefault="008352C7" w:rsidP="008352C7">
            <w:pPr>
              <w:pStyle w:val="a2"/>
              <w:spacing w:before="120" w:after="120"/>
              <w:rPr>
                <w:rFonts w:asciiTheme="majorHAnsi" w:hAnsiTheme="majorHAnsi" w:cstheme="minorHAnsi"/>
                <w:lang w:val="ro-RO"/>
              </w:rPr>
            </w:pPr>
            <w:r>
              <w:rPr>
                <w:rFonts w:asciiTheme="majorHAnsi" w:hAnsiTheme="majorHAnsi" w:cstheme="minorHAnsi"/>
                <w:lang w:val="ro-RO"/>
              </w:rPr>
              <w:t>În vederea evaluării complexe a acestei iniţiative sugerăm examinarea impactului asupra agenţilor economici care activează în domeniul agriculturii, precum şi a experienţei Uniunii Europene şi ţărilor din regiune în domeniul TVA.</w:t>
            </w:r>
          </w:p>
          <w:p w:rsidR="008352C7" w:rsidRPr="001B1C1C" w:rsidRDefault="00E328FF" w:rsidP="001331E0">
            <w:pPr>
              <w:pStyle w:val="a2"/>
              <w:spacing w:before="120" w:after="120" w:line="240" w:lineRule="atLeast"/>
              <w:rPr>
                <w:rFonts w:asciiTheme="majorHAnsi" w:hAnsiTheme="majorHAnsi" w:cstheme="minorHAnsi"/>
                <w:lang w:val="ro-RO"/>
              </w:rPr>
            </w:pPr>
            <w:r>
              <w:rPr>
                <w:rFonts w:asciiTheme="majorHAnsi" w:hAnsiTheme="majorHAnsi" w:cstheme="minorHAnsi"/>
                <w:lang w:val="ro-RO"/>
              </w:rPr>
              <w:t xml:space="preserve">Efecte inevitabile </w:t>
            </w:r>
            <w:r w:rsidR="008352C7">
              <w:rPr>
                <w:rFonts w:asciiTheme="majorHAnsi" w:hAnsiTheme="majorHAnsi" w:cstheme="minorHAnsi"/>
                <w:lang w:val="ro-RO"/>
              </w:rPr>
              <w:t>ale implementării acestei iniţiative sunt:</w:t>
            </w:r>
          </w:p>
          <w:p w:rsidR="008352C7" w:rsidRDefault="008352C7" w:rsidP="001331E0">
            <w:pPr>
              <w:pStyle w:val="a2"/>
              <w:numPr>
                <w:ilvl w:val="0"/>
                <w:numId w:val="10"/>
              </w:numPr>
              <w:spacing w:before="120" w:after="120" w:line="240" w:lineRule="atLeast"/>
              <w:rPr>
                <w:rFonts w:asciiTheme="majorHAnsi" w:hAnsiTheme="majorHAnsi" w:cstheme="minorHAnsi"/>
                <w:lang w:val="ro-RO"/>
              </w:rPr>
            </w:pPr>
            <w:r>
              <w:rPr>
                <w:rFonts w:asciiTheme="majorHAnsi" w:hAnsiTheme="majorHAnsi" w:cstheme="minorHAnsi"/>
                <w:lang w:val="ro-RO"/>
              </w:rPr>
              <w:t xml:space="preserve">Majorarea poverii fiscale ar putea duce la </w:t>
            </w:r>
            <w:r w:rsidRPr="008352C7">
              <w:rPr>
                <w:rFonts w:asciiTheme="majorHAnsi" w:hAnsiTheme="majorHAnsi" w:cstheme="minorHAnsi"/>
                <w:u w:val="single"/>
                <w:lang w:val="ro-RO"/>
              </w:rPr>
              <w:t>reducerea transparenţei tranzacţiilor în agricultură</w:t>
            </w:r>
            <w:r>
              <w:rPr>
                <w:rFonts w:asciiTheme="majorHAnsi" w:hAnsiTheme="majorHAnsi" w:cstheme="minorHAnsi"/>
                <w:lang w:val="ro-RO"/>
              </w:rPr>
              <w:t xml:space="preserve"> şi crearea premiselor pentru </w:t>
            </w:r>
            <w:r w:rsidRPr="008352C7">
              <w:rPr>
                <w:rFonts w:asciiTheme="majorHAnsi" w:hAnsiTheme="majorHAnsi" w:cstheme="minorHAnsi"/>
                <w:u w:val="single"/>
                <w:lang w:val="ro-RO"/>
              </w:rPr>
              <w:t>tranzacţiile ilegale</w:t>
            </w:r>
            <w:r>
              <w:rPr>
                <w:rFonts w:asciiTheme="majorHAnsi" w:hAnsiTheme="majorHAnsi" w:cstheme="minorHAnsi"/>
                <w:lang w:val="ro-RO"/>
              </w:rPr>
              <w:t xml:space="preserve"> de import a producţiei agricole.</w:t>
            </w:r>
          </w:p>
          <w:p w:rsidR="00E328FF" w:rsidRDefault="008352C7" w:rsidP="001331E0">
            <w:pPr>
              <w:pStyle w:val="a2"/>
              <w:numPr>
                <w:ilvl w:val="0"/>
                <w:numId w:val="10"/>
              </w:numPr>
              <w:spacing w:before="120" w:after="120" w:line="240" w:lineRule="atLeast"/>
              <w:rPr>
                <w:rFonts w:asciiTheme="majorHAnsi" w:hAnsiTheme="majorHAnsi" w:cstheme="minorHAnsi"/>
                <w:lang w:val="ro-RO"/>
              </w:rPr>
            </w:pPr>
            <w:r>
              <w:rPr>
                <w:rFonts w:asciiTheme="majorHAnsi" w:hAnsiTheme="majorHAnsi" w:cstheme="minorHAnsi"/>
                <w:lang w:val="ro-RO"/>
              </w:rPr>
              <w:t xml:space="preserve">Creşterea </w:t>
            </w:r>
            <w:r w:rsidR="00E328FF">
              <w:rPr>
                <w:rFonts w:asciiTheme="majorHAnsi" w:hAnsiTheme="majorHAnsi" w:cstheme="minorHAnsi"/>
                <w:lang w:val="ro-RO"/>
              </w:rPr>
              <w:t>nivelului economiei tenebre manifestată prin majorarea volumului tranzacţiilor cu produse agricole achitate în numerar, precum şi reducerea ponderii culturilor tehnice „transparente”.</w:t>
            </w:r>
          </w:p>
          <w:p w:rsidR="001331E0" w:rsidRPr="00E328FF" w:rsidRDefault="00E328FF" w:rsidP="00E328FF">
            <w:pPr>
              <w:pStyle w:val="a2"/>
              <w:numPr>
                <w:ilvl w:val="0"/>
                <w:numId w:val="10"/>
              </w:numPr>
              <w:spacing w:before="120" w:after="120" w:line="240" w:lineRule="atLeast"/>
              <w:rPr>
                <w:rFonts w:asciiTheme="majorHAnsi" w:hAnsiTheme="majorHAnsi" w:cstheme="minorHAnsi"/>
                <w:lang w:val="ro-RO"/>
              </w:rPr>
            </w:pPr>
            <w:r>
              <w:rPr>
                <w:rFonts w:asciiTheme="majorHAnsi" w:hAnsiTheme="majorHAnsi" w:cstheme="minorHAnsi"/>
                <w:lang w:val="ro-RO"/>
              </w:rPr>
              <w:t xml:space="preserve"> Majorarea inevitabilă a preţurilor produselor provenite din agricultură, şi respectiv reducerea puterii de cumpărare a cetăţenilor.</w:t>
            </w:r>
          </w:p>
        </w:tc>
      </w:tr>
      <w:tr w:rsidR="001331E0" w:rsidRPr="001B1C1C" w:rsidTr="001331E0">
        <w:tc>
          <w:tcPr>
            <w:tcW w:w="360" w:type="dxa"/>
          </w:tcPr>
          <w:p w:rsidR="001331E0" w:rsidRPr="00027F8D" w:rsidRDefault="008871CA" w:rsidP="00FB6EA9">
            <w:pPr>
              <w:tabs>
                <w:tab w:val="left" w:pos="1080"/>
              </w:tabs>
              <w:spacing w:before="120" w:after="120" w:line="240" w:lineRule="atLeast"/>
              <w:rPr>
                <w:rFonts w:asciiTheme="majorHAnsi" w:hAnsiTheme="majorHAnsi" w:cstheme="minorHAnsi"/>
                <w:lang w:val="ro-RO"/>
              </w:rPr>
            </w:pPr>
            <w:r>
              <w:rPr>
                <w:rFonts w:asciiTheme="majorHAnsi" w:hAnsiTheme="majorHAnsi" w:cstheme="minorHAnsi"/>
                <w:lang w:val="ro-RO"/>
              </w:rPr>
              <w:t>3</w:t>
            </w:r>
          </w:p>
        </w:tc>
        <w:tc>
          <w:tcPr>
            <w:tcW w:w="2340" w:type="dxa"/>
          </w:tcPr>
          <w:p w:rsidR="001331E0" w:rsidRDefault="001331E0" w:rsidP="00FB6EA9">
            <w:pPr>
              <w:tabs>
                <w:tab w:val="left" w:pos="1080"/>
              </w:tabs>
              <w:spacing w:before="120" w:after="120" w:line="240" w:lineRule="atLeast"/>
              <w:rPr>
                <w:rFonts w:asciiTheme="majorHAnsi" w:hAnsiTheme="majorHAnsi" w:cstheme="minorHAnsi"/>
                <w:i/>
                <w:lang w:val="ro-RO"/>
              </w:rPr>
            </w:pPr>
            <w:r w:rsidRPr="00027F8D">
              <w:rPr>
                <w:rFonts w:asciiTheme="majorHAnsi" w:hAnsiTheme="majorHAnsi" w:cstheme="minorHAnsi"/>
                <w:i/>
                <w:lang w:val="ro-RO"/>
              </w:rPr>
              <w:t>„Anularea scutirii de TVA la mijloacele fixe depuse în capitalul social al agentului economic”</w:t>
            </w:r>
          </w:p>
          <w:p w:rsidR="001331E0" w:rsidRPr="00027F8D" w:rsidRDefault="001331E0" w:rsidP="00FB6EA9">
            <w:pPr>
              <w:tabs>
                <w:tab w:val="left" w:pos="1080"/>
              </w:tabs>
              <w:spacing w:before="120" w:after="120" w:line="240" w:lineRule="atLeast"/>
              <w:rPr>
                <w:rFonts w:asciiTheme="majorHAnsi" w:hAnsiTheme="majorHAnsi" w:cstheme="minorHAnsi"/>
                <w:i/>
                <w:lang w:val="ro-RO"/>
              </w:rPr>
            </w:pPr>
            <w:r>
              <w:rPr>
                <w:rFonts w:asciiTheme="majorHAnsi" w:hAnsiTheme="majorHAnsi" w:cstheme="minorHAnsi"/>
                <w:i/>
                <w:lang w:val="ro-RO"/>
              </w:rPr>
              <w:t>Art. 103 (23) CF</w:t>
            </w:r>
          </w:p>
          <w:p w:rsidR="001331E0" w:rsidRPr="00027F8D" w:rsidRDefault="001331E0" w:rsidP="00FB6EA9">
            <w:pPr>
              <w:tabs>
                <w:tab w:val="left" w:pos="1080"/>
              </w:tabs>
              <w:spacing w:before="120" w:after="120" w:line="240" w:lineRule="atLeast"/>
              <w:rPr>
                <w:rFonts w:asciiTheme="majorHAnsi" w:eastAsia="Times New Roman" w:hAnsiTheme="majorHAnsi" w:cstheme="minorHAnsi"/>
                <w:i/>
                <w:u w:val="single"/>
                <w:lang w:val="ro-MO" w:eastAsia="ru-RU"/>
              </w:rPr>
            </w:pPr>
          </w:p>
        </w:tc>
        <w:tc>
          <w:tcPr>
            <w:tcW w:w="8820" w:type="dxa"/>
          </w:tcPr>
          <w:p w:rsidR="00E328FF" w:rsidRPr="003C4D72" w:rsidRDefault="00E328FF" w:rsidP="00FB6EA9">
            <w:pPr>
              <w:spacing w:before="120" w:after="120"/>
              <w:rPr>
                <w:lang w:val="ro-RO"/>
              </w:rPr>
            </w:pPr>
            <w:r w:rsidRPr="003C4D72">
              <w:rPr>
                <w:lang w:val="ro-RO"/>
              </w:rPr>
              <w:t>Considerăm inadmisibilă anularea scutirii de TVA şi taxă vamală la mijloacele fixe depuse în capitalul social al agentului economic</w:t>
            </w:r>
            <w:r>
              <w:rPr>
                <w:lang w:val="ro-RO"/>
              </w:rPr>
              <w:t xml:space="preserve"> (</w:t>
            </w:r>
            <w:r w:rsidRPr="003C4D72">
              <w:rPr>
                <w:lang w:val="ro-RO"/>
              </w:rPr>
              <w:t>art. 103 alin. (1) pct. 23)</w:t>
            </w:r>
            <w:r>
              <w:rPr>
                <w:lang w:val="ro-RO"/>
              </w:rPr>
              <w:t>)</w:t>
            </w:r>
            <w:r w:rsidRPr="003C4D72">
              <w:rPr>
                <w:lang w:val="ro-RO"/>
              </w:rPr>
              <w:t xml:space="preserve">. </w:t>
            </w:r>
          </w:p>
          <w:p w:rsidR="00E328FF" w:rsidRDefault="00E328FF" w:rsidP="00FB6EA9">
            <w:pPr>
              <w:spacing w:before="120" w:after="120"/>
              <w:rPr>
                <w:lang w:val="ro-RO"/>
              </w:rPr>
            </w:pPr>
            <w:r>
              <w:rPr>
                <w:lang w:val="ro-RO"/>
              </w:rPr>
              <w:t>Autorităţile argumentează ca anularea scutirii în cauză se datorează</w:t>
            </w:r>
            <w:r w:rsidRPr="003C4D72">
              <w:rPr>
                <w:lang w:val="ro-RO"/>
              </w:rPr>
              <w:t xml:space="preserve"> faptului că se extinde</w:t>
            </w:r>
            <w:r>
              <w:rPr>
                <w:lang w:val="ro-RO"/>
              </w:rPr>
              <w:t xml:space="preserve"> dreptul de</w:t>
            </w:r>
            <w:r w:rsidRPr="003C4D72">
              <w:rPr>
                <w:lang w:val="ro-RO"/>
              </w:rPr>
              <w:t xml:space="preserve"> restituire</w:t>
            </w:r>
            <w:r>
              <w:rPr>
                <w:lang w:val="ro-RO"/>
              </w:rPr>
              <w:t xml:space="preserve"> </w:t>
            </w:r>
            <w:r w:rsidRPr="003C4D72">
              <w:rPr>
                <w:lang w:val="ro-RO"/>
              </w:rPr>
              <w:t xml:space="preserve">a TVA </w:t>
            </w:r>
            <w:r>
              <w:rPr>
                <w:lang w:val="ro-RO"/>
              </w:rPr>
              <w:t xml:space="preserve">şi </w:t>
            </w:r>
            <w:r w:rsidRPr="003C4D72">
              <w:rPr>
                <w:lang w:val="ro-RO"/>
              </w:rPr>
              <w:t xml:space="preserve">pentru </w:t>
            </w:r>
            <w:r>
              <w:rPr>
                <w:lang w:val="ro-RO"/>
              </w:rPr>
              <w:t xml:space="preserve">investiţiile efectuate în mun. </w:t>
            </w:r>
            <w:r w:rsidRPr="003C4D72">
              <w:rPr>
                <w:lang w:val="ro-RO"/>
              </w:rPr>
              <w:t>Chi</w:t>
            </w:r>
            <w:r w:rsidRPr="003C4D72">
              <w:rPr>
                <w:rFonts w:ascii="Cambria Math" w:hAnsi="Cambria Math" w:cs="Cambria Math"/>
                <w:lang w:val="ro-RO"/>
              </w:rPr>
              <w:t>ș</w:t>
            </w:r>
            <w:r w:rsidRPr="003C4D72">
              <w:rPr>
                <w:lang w:val="ro-RO"/>
              </w:rPr>
              <w:t xml:space="preserve">inău </w:t>
            </w:r>
            <w:r w:rsidRPr="003C4D72">
              <w:rPr>
                <w:rFonts w:ascii="Cambria Math" w:hAnsi="Cambria Math" w:cs="Cambria Math"/>
                <w:lang w:val="ro-RO"/>
              </w:rPr>
              <w:t>ș</w:t>
            </w:r>
            <w:r w:rsidRPr="003C4D72">
              <w:rPr>
                <w:lang w:val="ro-RO"/>
              </w:rPr>
              <w:t>i Băl</w:t>
            </w:r>
            <w:r w:rsidRPr="003C4D72">
              <w:rPr>
                <w:rFonts w:ascii="Cambria Math" w:hAnsi="Cambria Math" w:cs="Cambria Math"/>
                <w:lang w:val="ro-RO"/>
              </w:rPr>
              <w:t>ț</w:t>
            </w:r>
            <w:r w:rsidRPr="003C4D72">
              <w:rPr>
                <w:lang w:val="ro-RO"/>
              </w:rPr>
              <w:t>i în cazul investi</w:t>
            </w:r>
            <w:r w:rsidRPr="003C4D72">
              <w:rPr>
                <w:rFonts w:ascii="Cambria Math" w:hAnsi="Cambria Math" w:cs="Cambria Math"/>
                <w:lang w:val="ro-RO"/>
              </w:rPr>
              <w:t>ț</w:t>
            </w:r>
            <w:r w:rsidRPr="003C4D72">
              <w:rPr>
                <w:lang w:val="ro-RO"/>
              </w:rPr>
              <w:t xml:space="preserve">iilor (cheltuielilor) capitale. </w:t>
            </w:r>
          </w:p>
          <w:p w:rsidR="00E328FF" w:rsidRDefault="00E328FF" w:rsidP="00FB6EA9">
            <w:pPr>
              <w:spacing w:before="120" w:after="120"/>
              <w:rPr>
                <w:lang w:val="ro-RO"/>
              </w:rPr>
            </w:pPr>
            <w:r w:rsidRPr="003C4D72">
              <w:rPr>
                <w:lang w:val="ro-RO"/>
              </w:rPr>
              <w:t>Tot</w:t>
            </w:r>
            <w:r>
              <w:rPr>
                <w:lang w:val="ro-RO"/>
              </w:rPr>
              <w:t>uşi</w:t>
            </w:r>
            <w:r w:rsidRPr="003C4D72">
              <w:rPr>
                <w:lang w:val="ro-RO"/>
              </w:rPr>
              <w:t>, urmează să reiterăm faptul că restituirea TVA se va oferi pentru un volum minim de investi</w:t>
            </w:r>
            <w:r w:rsidRPr="003C4D72">
              <w:rPr>
                <w:rFonts w:ascii="Cambria Math" w:hAnsi="Cambria Math" w:cs="Cambria Math"/>
                <w:lang w:val="ro-RO"/>
              </w:rPr>
              <w:t>ț</w:t>
            </w:r>
            <w:r w:rsidRPr="003C4D72">
              <w:rPr>
                <w:lang w:val="ro-RO"/>
              </w:rPr>
              <w:t xml:space="preserve">ii capitale, iar clădirile </w:t>
            </w:r>
            <w:r w:rsidRPr="003C4D72">
              <w:rPr>
                <w:rFonts w:ascii="Cambria Math" w:hAnsi="Cambria Math" w:cs="Cambria Math"/>
                <w:lang w:val="ro-RO"/>
              </w:rPr>
              <w:t>ș</w:t>
            </w:r>
            <w:r w:rsidRPr="003C4D72">
              <w:rPr>
                <w:lang w:val="ro-RO"/>
              </w:rPr>
              <w:t xml:space="preserve">i alte bunuri imobile vor fi excluse din acest mecanism. </w:t>
            </w:r>
            <w:r>
              <w:rPr>
                <w:lang w:val="ro-RO"/>
              </w:rPr>
              <w:t xml:space="preserve">Prin urmare, </w:t>
            </w:r>
            <w:r w:rsidRPr="003C4D72">
              <w:rPr>
                <w:lang w:val="ro-RO"/>
              </w:rPr>
              <w:t>argumentarea Ministerului Finan</w:t>
            </w:r>
            <w:r w:rsidRPr="003C4D72">
              <w:rPr>
                <w:rFonts w:ascii="Cambria Math" w:hAnsi="Cambria Math" w:cs="Cambria Math"/>
                <w:lang w:val="ro-RO"/>
              </w:rPr>
              <w:t>ț</w:t>
            </w:r>
            <w:r w:rsidRPr="003C4D72">
              <w:rPr>
                <w:lang w:val="ro-RO"/>
              </w:rPr>
              <w:t>elor nu poate fi acceptată, iar facilitatea privind scutirea de TVA şi taxă vamală la mijloacele fixe depuse în capitalul social al agentului economic nu este substituibilă reciproc cu cea de restituire a TVA.</w:t>
            </w:r>
            <w:r>
              <w:rPr>
                <w:lang w:val="ro-RO"/>
              </w:rPr>
              <w:t xml:space="preserve"> Anularea facilităţii date poate crea impedimente in dezvoltarea bazei-tehnico materiale ale companiilor şi preluarea celor mai bune tehnologii, datorită creşterii costurilor de implementare.</w:t>
            </w:r>
          </w:p>
          <w:p w:rsidR="00E328FF" w:rsidRPr="00D54FBA" w:rsidRDefault="00E328FF" w:rsidP="00FB6EA9">
            <w:pPr>
              <w:spacing w:before="120" w:after="120"/>
              <w:rPr>
                <w:lang w:val="ro-RO"/>
              </w:rPr>
            </w:pPr>
            <w:r>
              <w:rPr>
                <w:lang w:val="ro-RO"/>
              </w:rPr>
              <w:t>Mai mult decît atît, î</w:t>
            </w:r>
            <w:r w:rsidRPr="00D54FBA">
              <w:rPr>
                <w:lang w:val="ro-RO"/>
              </w:rPr>
              <w:t>nţelegem că scopul implementării în anul 2004</w:t>
            </w:r>
            <w:r w:rsidRPr="00D54FBA">
              <w:rPr>
                <w:rStyle w:val="aff0"/>
                <w:lang w:val="ro-RO"/>
              </w:rPr>
              <w:footnoteReference w:id="2"/>
            </w:r>
            <w:r w:rsidRPr="00D54FBA">
              <w:rPr>
                <w:lang w:val="ro-RO"/>
              </w:rPr>
              <w:t xml:space="preserve"> şi a menţinerii facilităţilor menţionate a fost unul de susţinere a agenţilor economici în procesul de dezvoltare a bazei şi capacităţi</w:t>
            </w:r>
            <w:r>
              <w:rPr>
                <w:lang w:val="ro-RO"/>
              </w:rPr>
              <w:t xml:space="preserve">lor lor tehnice, de facilitare </w:t>
            </w:r>
            <w:r w:rsidRPr="00D54FBA">
              <w:rPr>
                <w:lang w:val="ro-RO"/>
              </w:rPr>
              <w:t>a procesului de reînnoire a mijloacelor fixe, adică a activelor materiale utilizabile în activitatea de producţie, comercială şi în alte activităţi, executarea lucrărilor, prestarea serviciilor sau destinate închirierii, sau pentru scopuri administrative.</w:t>
            </w:r>
          </w:p>
          <w:p w:rsidR="00E328FF" w:rsidRPr="00D54FBA" w:rsidRDefault="00E328FF" w:rsidP="00FB6EA9">
            <w:pPr>
              <w:spacing w:before="120" w:after="120"/>
              <w:rPr>
                <w:lang w:val="ro-RO"/>
              </w:rPr>
            </w:pPr>
            <w:r w:rsidRPr="00D54FBA">
              <w:rPr>
                <w:lang w:val="ro-RO"/>
              </w:rPr>
              <w:t xml:space="preserve">Cu toate acestea, credem că </w:t>
            </w:r>
            <w:r>
              <w:rPr>
                <w:lang w:val="ro-RO"/>
              </w:rPr>
              <w:t xml:space="preserve">pe lîngă menţinerea scutirii TVA şi a taxei vamale la mijloacele fixe depuse în capitalul social al agentului economic, este recomandabilă amendarea bazei legislative ce reglementează acordarea scutirii in cauză </w:t>
            </w:r>
            <w:r w:rsidRPr="00D54FBA">
              <w:rPr>
                <w:lang w:val="ro-RO"/>
              </w:rPr>
              <w:t xml:space="preserve">şi pentru importurile / achiziţiile locale de active materiale a căror valoare depăşeşte </w:t>
            </w:r>
            <w:r w:rsidR="008C38DF">
              <w:rPr>
                <w:lang w:val="ro-RO"/>
              </w:rPr>
              <w:t xml:space="preserve"> 6.000</w:t>
            </w:r>
            <w:r w:rsidRPr="00D54FBA">
              <w:rPr>
                <w:lang w:val="ro-RO"/>
              </w:rPr>
              <w:t xml:space="preserve"> MDL pentru o unitate şi al căror termen de exploatare depăşeşte 1 an, </w:t>
            </w:r>
            <w:r w:rsidRPr="00D54FBA">
              <w:rPr>
                <w:u w:val="single"/>
                <w:lang w:val="ro-RO"/>
              </w:rPr>
              <w:t>dar care sunt achiziţionate din contul aporturilor monetare la capitalul statutar (social)</w:t>
            </w:r>
            <w:r w:rsidRPr="00D54FBA">
              <w:rPr>
                <w:lang w:val="ro-RO"/>
              </w:rPr>
              <w:t>, fiind astfel implementată o alternativă practică contribuţiilor în natură la capital.</w:t>
            </w:r>
          </w:p>
          <w:p w:rsidR="00E328FF" w:rsidRPr="00D54FBA" w:rsidRDefault="00E328FF" w:rsidP="00FB6EA9">
            <w:pPr>
              <w:spacing w:before="120" w:after="120"/>
              <w:rPr>
                <w:lang w:val="ro-RO"/>
              </w:rPr>
            </w:pPr>
          </w:p>
          <w:p w:rsidR="00E328FF" w:rsidRPr="00D54FBA" w:rsidRDefault="00E328FF" w:rsidP="00FB6EA9">
            <w:pPr>
              <w:spacing w:before="120" w:after="120"/>
              <w:rPr>
                <w:lang w:val="ro-RO"/>
              </w:rPr>
            </w:pPr>
            <w:r w:rsidRPr="00D54FBA">
              <w:rPr>
                <w:lang w:val="ro-RO"/>
              </w:rPr>
              <w:t>Concluzia şi recomandarea dată se bazează, printre altele, pe următoarele cauze şi scopuri:</w:t>
            </w:r>
          </w:p>
          <w:p w:rsidR="00FB6EA9" w:rsidRPr="0093383F" w:rsidRDefault="00E328FF" w:rsidP="00FB6EA9">
            <w:pPr>
              <w:widowControl w:val="0"/>
              <w:numPr>
                <w:ilvl w:val="0"/>
                <w:numId w:val="11"/>
              </w:numPr>
              <w:tabs>
                <w:tab w:val="clear" w:pos="1080"/>
                <w:tab w:val="num" w:pos="522"/>
              </w:tabs>
              <w:autoSpaceDE w:val="0"/>
              <w:autoSpaceDN w:val="0"/>
              <w:adjustRightInd w:val="0"/>
              <w:spacing w:before="120" w:after="120"/>
              <w:ind w:left="522" w:hanging="360"/>
              <w:rPr>
                <w:lang w:val="ro-RO"/>
              </w:rPr>
            </w:pPr>
            <w:r w:rsidRPr="0093383F">
              <w:rPr>
                <w:b/>
                <w:lang w:val="ro-RO"/>
              </w:rPr>
              <w:lastRenderedPageBreak/>
              <w:t>Menţinerea în continuare a facilităţilor doar pentru activele materiale destinate includerii în capitalul statutar nu este întotdeauna eficientă din punct de vedere operaţional / practic.</w:t>
            </w:r>
            <w:r w:rsidRPr="0093383F">
              <w:rPr>
                <w:lang w:val="ro-RO"/>
              </w:rPr>
              <w:t xml:space="preserve"> Aceasta deoarece, de exemplu, în cazul companiilor prezente în Moldova membre ale grupurilor multinaţionale, asociaţii / acţionarii străini nu pot asigura în practică, de cele mai dese ori, achiziţionarea bunurilor şi doar după aceasta livrarea acestora drept contribuţie la capitalul statutar al subsidiarelor din Moldova. De exemplu, în multe cazuri, acţionarii companiilor din Moldova sunt entităţi de holding care au o sferă limitată de activitate, cum ar fi exclusiv finanţarea entităţilor din grup prin împrumuturi sau aporturi monetare la capital. În alte cazuri, în vederea beneficierii de facilităţile date, procedura de contribuţie în natură la capital urmează a fi suplinită cu alte etape intermediare (ex. semnarea unor contracte de mandat), îndeplinirea cărora complică procesul de implementare practică a tranzacţiei în regim fiscal / vamal facilitar.</w:t>
            </w:r>
          </w:p>
          <w:p w:rsidR="00FB6EA9" w:rsidRDefault="00E328FF" w:rsidP="00FB6EA9">
            <w:pPr>
              <w:widowControl w:val="0"/>
              <w:numPr>
                <w:ilvl w:val="0"/>
                <w:numId w:val="11"/>
              </w:numPr>
              <w:tabs>
                <w:tab w:val="clear" w:pos="1080"/>
                <w:tab w:val="num" w:pos="522"/>
              </w:tabs>
              <w:autoSpaceDE w:val="0"/>
              <w:autoSpaceDN w:val="0"/>
              <w:adjustRightInd w:val="0"/>
              <w:spacing w:before="120" w:after="120"/>
              <w:ind w:left="522" w:hanging="360"/>
              <w:rPr>
                <w:lang w:val="ro-RO"/>
              </w:rPr>
            </w:pPr>
            <w:r w:rsidRPr="00FB6EA9">
              <w:rPr>
                <w:b/>
                <w:lang w:val="ro-RO"/>
              </w:rPr>
              <w:t>Implementarea amendamentelor propuse va constitui o măsură a statutului de facilitare a relansării economice a agenţilor economici.</w:t>
            </w:r>
            <w:r w:rsidRPr="00FB6EA9">
              <w:rPr>
                <w:lang w:val="ro-RO"/>
              </w:rPr>
              <w:t xml:space="preserve"> Acest scop, la rândul său, este unul deosebit de important în contextul recesiunii economice actuale, a necesităţii agenţilor economici de reducere a costurilor şi de îmbunătăţire / optimizare a fluxurilor de numerar, precum şi în contextul posibilităţilor limitate ale agenţilor economici de restituire a TVA aferentă investiţiilor (ne referim, în particular, la limitarea posibilităţii de restituire la un volum minim de investiţii, precum şi excluderea cladirilor şi altor bunuri imobile din această categorie). Pe fundalul recesiunii, eventuala implementare a recomandărilor propuse ar fi un pas important / suplimentar de creştere a atractivităţii mediului investiţional în Moldova, obiectiv pe care statul şi l-a propus şi prin </w:t>
            </w:r>
            <w:r w:rsidRPr="00FB6EA9">
              <w:rPr>
                <w:bCs/>
                <w:lang w:val="ro-RO"/>
              </w:rPr>
              <w:t>Programul de stabilizare şi relansare economică a Republicii Moldova pe anii 2009-2011</w:t>
            </w:r>
            <w:r w:rsidRPr="00D54FBA">
              <w:rPr>
                <w:rStyle w:val="aff0"/>
                <w:bCs/>
                <w:lang w:val="ro-RO"/>
              </w:rPr>
              <w:footnoteReference w:id="3"/>
            </w:r>
            <w:r w:rsidRPr="00FB6EA9">
              <w:rPr>
                <w:bCs/>
                <w:lang w:val="ro-RO"/>
              </w:rPr>
              <w:t>.</w:t>
            </w:r>
          </w:p>
          <w:p w:rsidR="00C83CA8" w:rsidRDefault="00E328FF" w:rsidP="00FB6EA9">
            <w:pPr>
              <w:widowControl w:val="0"/>
              <w:numPr>
                <w:ilvl w:val="0"/>
                <w:numId w:val="11"/>
              </w:numPr>
              <w:tabs>
                <w:tab w:val="clear" w:pos="1080"/>
                <w:tab w:val="num" w:pos="522"/>
              </w:tabs>
              <w:autoSpaceDE w:val="0"/>
              <w:autoSpaceDN w:val="0"/>
              <w:adjustRightInd w:val="0"/>
              <w:spacing w:before="120" w:after="120"/>
              <w:ind w:left="522" w:hanging="360"/>
              <w:rPr>
                <w:lang w:val="ro-RO"/>
              </w:rPr>
            </w:pPr>
            <w:r w:rsidRPr="00FB6EA9">
              <w:rPr>
                <w:b/>
                <w:lang w:val="ro-RO"/>
              </w:rPr>
              <w:t>Scopul iniţial al implementării de către legiuitor a facilităţilor fiscale şi vamale va fi respectat şi în situaţia aprobării amendamentelor propuse. Administrarea fiscală şi vamală va putea fi la fel asigurată.</w:t>
            </w:r>
            <w:r w:rsidRPr="00FB6EA9">
              <w:rPr>
                <w:lang w:val="ro-RO"/>
              </w:rPr>
              <w:t xml:space="preserve"> </w:t>
            </w:r>
          </w:p>
          <w:p w:rsidR="00FB6EA9" w:rsidRDefault="00E328FF" w:rsidP="00C83CA8">
            <w:pPr>
              <w:widowControl w:val="0"/>
              <w:autoSpaceDE w:val="0"/>
              <w:autoSpaceDN w:val="0"/>
              <w:adjustRightInd w:val="0"/>
              <w:spacing w:before="120" w:after="120"/>
              <w:ind w:left="522"/>
              <w:rPr>
                <w:lang w:val="ro-RO"/>
              </w:rPr>
            </w:pPr>
            <w:r w:rsidRPr="00FB6EA9">
              <w:rPr>
                <w:lang w:val="ro-RO"/>
              </w:rPr>
              <w:t>Pe de o parte, recomandarea în cauză se referă la acordarea unui regim facilitar pentru aceleaşi tipuri de investiţii. Pe de altă parte, atât autorităţile fiscale, cât şi cele vamale vor fi în măsură să asigure administrarea fiscală / vamală a contribuabililor care vor beneficia de astfel de facilităţi, verificând modul de finanţare a achiziţiilor date, destinaţia activelor, etc. De exemplu, potrivit a</w:t>
            </w:r>
            <w:r w:rsidRPr="00FB6EA9">
              <w:rPr>
                <w:bCs/>
                <w:lang w:val="ro-RO"/>
              </w:rPr>
              <w:t xml:space="preserve">rt. 35 al Codului vamal (i.e. </w:t>
            </w:r>
            <w:r w:rsidRPr="00FB6EA9">
              <w:rPr>
                <w:lang w:val="ro-RO"/>
              </w:rPr>
              <w:t>Legea nr. 1149 din 20.07.2000</w:t>
            </w:r>
            <w:r w:rsidRPr="00FB6EA9">
              <w:rPr>
                <w:bCs/>
                <w:lang w:val="ro-RO"/>
              </w:rPr>
              <w:t>), î</w:t>
            </w:r>
            <w:r w:rsidRPr="00FB6EA9">
              <w:rPr>
                <w:lang w:val="ro-RO"/>
              </w:rPr>
              <w:t>n cazul când mărfurile sunt puse în liberă circulaţie la drepturi de import reduse sau zero pe motivul destinaţiei lor finale, acestea rămân sub supraveghere vamală, iar utilizarea mărfurilor pe parcursul a cel puţin 3 ani în alte scopuri decât cele prevăzute pentru aplicarea drepturilor de import reduse sau zero este permisă cu condiţia achitării drepturilor de import;</w:t>
            </w:r>
          </w:p>
          <w:p w:rsidR="00E328FF" w:rsidRPr="00FB6EA9" w:rsidRDefault="00E328FF" w:rsidP="00FB6EA9">
            <w:pPr>
              <w:widowControl w:val="0"/>
              <w:numPr>
                <w:ilvl w:val="0"/>
                <w:numId w:val="11"/>
              </w:numPr>
              <w:tabs>
                <w:tab w:val="clear" w:pos="1080"/>
                <w:tab w:val="num" w:pos="522"/>
              </w:tabs>
              <w:autoSpaceDE w:val="0"/>
              <w:autoSpaceDN w:val="0"/>
              <w:adjustRightInd w:val="0"/>
              <w:spacing w:before="120" w:after="120"/>
              <w:ind w:left="522" w:hanging="360"/>
              <w:rPr>
                <w:rStyle w:val="apple-style-span"/>
                <w:rFonts w:cstheme="minorBidi"/>
                <w:lang w:val="ro-RO"/>
              </w:rPr>
            </w:pPr>
            <w:r w:rsidRPr="00FB6EA9">
              <w:rPr>
                <w:b/>
                <w:lang w:val="ro-RO"/>
              </w:rPr>
              <w:t>Implementarea amendamentelor propuse va asigura un regim echitabil aplicabil atât contribuţiilor cu bunuri la capitalul social, cât şi bunurilor achiziţionate din contul contribuţiilor monetare la capital</w:t>
            </w:r>
            <w:r w:rsidRPr="00FB6EA9">
              <w:rPr>
                <w:lang w:val="ro-RO"/>
              </w:rPr>
              <w:t xml:space="preserve">. </w:t>
            </w:r>
          </w:p>
          <w:p w:rsidR="001331E0" w:rsidRPr="00FB6EA9" w:rsidRDefault="00E328FF" w:rsidP="00FB6EA9">
            <w:pPr>
              <w:spacing w:before="120" w:after="120"/>
              <w:rPr>
                <w:lang w:val="ro-RO"/>
              </w:rPr>
            </w:pPr>
            <w:r w:rsidRPr="00D54FBA">
              <w:rPr>
                <w:lang w:val="ro-RO"/>
              </w:rPr>
              <w:t xml:space="preserve">Deopotrivă cu implementarea recomandărilor </w:t>
            </w:r>
            <w:r>
              <w:rPr>
                <w:lang w:val="ro-RO"/>
              </w:rPr>
              <w:t xml:space="preserve">de mai sus în CF, </w:t>
            </w:r>
            <w:r w:rsidRPr="00D54FBA">
              <w:rPr>
                <w:lang w:val="ro-RO"/>
              </w:rPr>
              <w:t>Legii cu privire la tariful vamal (nr. 1380-XIII din 20 noiembrie 1997, sugerăm şi perfecţionarea concomitentă a normelor actuale ale Regulamentul aprobat de Guvern, i.e. prin Hotărârea Guvernului nr. 102 din 30 ianuarie 2007</w:t>
            </w:r>
            <w:r w:rsidRPr="00D54FBA">
              <w:rPr>
                <w:rStyle w:val="aff0"/>
                <w:lang w:val="ro-RO"/>
              </w:rPr>
              <w:footnoteReference w:id="4"/>
            </w:r>
            <w:r>
              <w:rPr>
                <w:lang w:val="ro-RO"/>
              </w:rPr>
              <w:t>, în vederea eliminării posibilităţilor de interpretare diferită atât a normelor actuale ale acesteia, precum şi pentru ajustarea ei la amendamentele propuse mai sus, care contăm că vor fi luate în consideraţie la aprobarea politicii fiscale pentru anul 2011.</w:t>
            </w:r>
          </w:p>
        </w:tc>
      </w:tr>
      <w:tr w:rsidR="00A40C0B" w:rsidRPr="001B1C1C" w:rsidTr="001331E0">
        <w:trPr>
          <w:trHeight w:val="70"/>
        </w:trPr>
        <w:tc>
          <w:tcPr>
            <w:tcW w:w="360" w:type="dxa"/>
          </w:tcPr>
          <w:p w:rsidR="00A40C0B" w:rsidRPr="008A0186" w:rsidRDefault="008871CA" w:rsidP="00A40C0B">
            <w:pPr>
              <w:tabs>
                <w:tab w:val="left" w:pos="1080"/>
              </w:tabs>
              <w:spacing w:before="120" w:after="120"/>
              <w:rPr>
                <w:rFonts w:asciiTheme="majorHAnsi" w:hAnsiTheme="majorHAnsi" w:cstheme="minorHAnsi"/>
                <w:lang w:val="ro-RO"/>
              </w:rPr>
            </w:pPr>
            <w:r>
              <w:rPr>
                <w:rFonts w:asciiTheme="majorHAnsi" w:hAnsiTheme="majorHAnsi" w:cstheme="minorHAnsi"/>
                <w:lang w:val="ro-RO"/>
              </w:rPr>
              <w:lastRenderedPageBreak/>
              <w:t>4</w:t>
            </w:r>
          </w:p>
        </w:tc>
        <w:tc>
          <w:tcPr>
            <w:tcW w:w="2340" w:type="dxa"/>
          </w:tcPr>
          <w:p w:rsidR="00A40C0B" w:rsidRPr="008A0186" w:rsidRDefault="00A40C0B" w:rsidP="00A40C0B">
            <w:pPr>
              <w:tabs>
                <w:tab w:val="left" w:pos="1080"/>
              </w:tabs>
              <w:spacing w:before="120" w:after="120" w:line="240" w:lineRule="atLeast"/>
              <w:rPr>
                <w:rFonts w:asciiTheme="majorHAnsi" w:hAnsiTheme="majorHAnsi" w:cstheme="minorHAnsi"/>
                <w:lang w:val="ro-RO"/>
              </w:rPr>
            </w:pPr>
            <w:r w:rsidRPr="008A0186">
              <w:rPr>
                <w:rFonts w:asciiTheme="majorHAnsi" w:hAnsiTheme="majorHAnsi" w:cstheme="minorHAnsi"/>
                <w:lang w:val="ro-RO"/>
              </w:rPr>
              <w:t xml:space="preserve">Art. </w:t>
            </w:r>
            <m:oMath>
              <m:sSup>
                <m:sSupPr>
                  <m:ctrlPr>
                    <w:rPr>
                      <w:rFonts w:ascii="Cambria Math" w:hAnsiTheme="majorHAnsi" w:cstheme="minorHAnsi"/>
                      <w:i/>
                      <w:noProof/>
                    </w:rPr>
                  </m:ctrlPr>
                </m:sSupPr>
                <m:e>
                  <m:r>
                    <w:rPr>
                      <w:rFonts w:ascii="Cambria Math" w:hAnsiTheme="majorHAnsi" w:cstheme="minorHAnsi"/>
                      <w:noProof/>
                    </w:rPr>
                    <m:t>118</m:t>
                  </m:r>
                </m:e>
                <m:sup>
                  <m:r>
                    <w:rPr>
                      <w:rFonts w:ascii="Cambria Math" w:hAnsiTheme="majorHAnsi" w:cstheme="minorHAnsi"/>
                      <w:noProof/>
                    </w:rPr>
                    <m:t>1</m:t>
                  </m:r>
                </m:sup>
              </m:sSup>
            </m:oMath>
            <w:r w:rsidRPr="008A0186">
              <w:rPr>
                <w:rFonts w:asciiTheme="majorHAnsi" w:hAnsiTheme="majorHAnsi" w:cstheme="minorHAnsi"/>
              </w:rPr>
              <w:t xml:space="preserve">  </w:t>
            </w:r>
            <w:r w:rsidRPr="008A0186">
              <w:rPr>
                <w:rFonts w:asciiTheme="majorHAnsi" w:hAnsiTheme="majorHAnsi" w:cstheme="minorHAnsi"/>
                <w:lang w:val="ro-RO"/>
              </w:rPr>
              <w:t>al CF</w:t>
            </w:r>
          </w:p>
          <w:p w:rsidR="00A40C0B" w:rsidRPr="008A0186" w:rsidRDefault="00A40C0B" w:rsidP="00A40C0B">
            <w:pPr>
              <w:tabs>
                <w:tab w:val="left" w:pos="1080"/>
              </w:tabs>
              <w:spacing w:before="120" w:after="120" w:line="240" w:lineRule="atLeast"/>
              <w:rPr>
                <w:rFonts w:asciiTheme="majorHAnsi" w:hAnsiTheme="majorHAnsi" w:cstheme="minorHAnsi"/>
                <w:lang w:val="ro-RO"/>
              </w:rPr>
            </w:pPr>
            <w:r w:rsidRPr="008A0186">
              <w:rPr>
                <w:rFonts w:asciiTheme="majorHAnsi" w:hAnsiTheme="majorHAnsi" w:cstheme="minorHAnsi"/>
                <w:lang w:val="ro-RO"/>
              </w:rPr>
              <w:t>„Registrul general electornic al facturilor fiscale”</w:t>
            </w:r>
          </w:p>
        </w:tc>
        <w:tc>
          <w:tcPr>
            <w:tcW w:w="8820" w:type="dxa"/>
          </w:tcPr>
          <w:p w:rsidR="008A0186" w:rsidRPr="008A0186" w:rsidRDefault="008A0186" w:rsidP="008A0186">
            <w:pPr>
              <w:spacing w:before="120" w:after="120" w:line="240" w:lineRule="atLeast"/>
              <w:jc w:val="both"/>
              <w:rPr>
                <w:rFonts w:asciiTheme="majorHAnsi" w:hAnsiTheme="majorHAnsi" w:cstheme="minorHAnsi"/>
                <w:color w:val="000000" w:themeColor="text1"/>
                <w:lang w:val="en-US"/>
              </w:rPr>
            </w:pPr>
            <w:r w:rsidRPr="008A0186">
              <w:rPr>
                <w:rFonts w:asciiTheme="majorHAnsi" w:hAnsiTheme="majorHAnsi" w:cstheme="minorHAnsi"/>
                <w:color w:val="000000" w:themeColor="text1"/>
                <w:lang w:val="ro-RO"/>
              </w:rPr>
              <w:t xml:space="preserve">Conform art. </w:t>
            </w:r>
            <m:oMath>
              <m:sSup>
                <m:sSupPr>
                  <m:ctrlPr>
                    <w:rPr>
                      <w:rFonts w:ascii="Cambria Math" w:hAnsiTheme="majorHAnsi" w:cstheme="minorHAnsi"/>
                      <w:i/>
                      <w:noProof/>
                      <w:color w:val="000000" w:themeColor="text1"/>
                    </w:rPr>
                  </m:ctrlPr>
                </m:sSupPr>
                <m:e>
                  <m:r>
                    <w:rPr>
                      <w:rFonts w:ascii="Cambria Math" w:hAnsiTheme="majorHAnsi" w:cstheme="minorHAnsi"/>
                      <w:noProof/>
                      <w:color w:val="000000" w:themeColor="text1"/>
                    </w:rPr>
                    <m:t>118</m:t>
                  </m:r>
                </m:e>
                <m:sup>
                  <m:r>
                    <w:rPr>
                      <w:rFonts w:ascii="Cambria Math" w:hAnsiTheme="majorHAnsi" w:cstheme="minorHAnsi"/>
                      <w:noProof/>
                      <w:color w:val="000000" w:themeColor="text1"/>
                    </w:rPr>
                    <m:t>1</m:t>
                  </m:r>
                </m:sup>
              </m:sSup>
            </m:oMath>
            <w:r w:rsidRPr="008A0186">
              <w:rPr>
                <w:rFonts w:asciiTheme="majorHAnsi" w:hAnsiTheme="majorHAnsi" w:cstheme="minorHAnsi"/>
                <w:color w:val="000000" w:themeColor="text1"/>
              </w:rPr>
              <w:t xml:space="preserve"> </w:t>
            </w:r>
            <w:r w:rsidRPr="008A0186">
              <w:rPr>
                <w:rFonts w:asciiTheme="majorHAnsi" w:hAnsiTheme="majorHAnsi" w:cstheme="minorHAnsi"/>
                <w:color w:val="000000" w:themeColor="text1"/>
                <w:lang w:val="ro-RO"/>
              </w:rPr>
              <w:t xml:space="preserve">al CF furnizorul de mărfuri / servicii este obligat să înregistreze factura fiscală eliberată </w:t>
            </w:r>
            <w:proofErr w:type="spellStart"/>
            <w:r w:rsidRPr="008A0186">
              <w:rPr>
                <w:rFonts w:asciiTheme="majorHAnsi" w:hAnsiTheme="majorHAnsi" w:cstheme="minorHAnsi"/>
                <w:color w:val="000000" w:themeColor="text1"/>
                <w:lang w:val="en-US"/>
              </w:rPr>
              <w:t>în</w:t>
            </w:r>
            <w:proofErr w:type="spellEnd"/>
            <w:r w:rsidRPr="008A0186">
              <w:rPr>
                <w:rFonts w:asciiTheme="majorHAnsi" w:hAnsiTheme="majorHAnsi" w:cstheme="minorHAnsi"/>
                <w:color w:val="000000" w:themeColor="text1"/>
                <w:lang w:val="en-US"/>
              </w:rPr>
              <w:t xml:space="preserve"> </w:t>
            </w:r>
            <w:proofErr w:type="spellStart"/>
            <w:r w:rsidRPr="008A0186">
              <w:rPr>
                <w:rFonts w:asciiTheme="majorHAnsi" w:hAnsiTheme="majorHAnsi" w:cstheme="minorHAnsi"/>
                <w:color w:val="000000" w:themeColor="text1"/>
                <w:lang w:val="en-US"/>
              </w:rPr>
              <w:t>Registrul</w:t>
            </w:r>
            <w:proofErr w:type="spellEnd"/>
            <w:r w:rsidRPr="008A0186">
              <w:rPr>
                <w:rFonts w:asciiTheme="majorHAnsi" w:hAnsiTheme="majorHAnsi" w:cstheme="minorHAnsi"/>
                <w:color w:val="000000" w:themeColor="text1"/>
                <w:lang w:val="en-US"/>
              </w:rPr>
              <w:t xml:space="preserve"> general electronic al </w:t>
            </w:r>
            <w:proofErr w:type="spellStart"/>
            <w:r w:rsidRPr="008A0186">
              <w:rPr>
                <w:rFonts w:asciiTheme="majorHAnsi" w:hAnsiTheme="majorHAnsi" w:cstheme="minorHAnsi"/>
                <w:color w:val="000000" w:themeColor="text1"/>
                <w:lang w:val="en-US"/>
              </w:rPr>
              <w:t>facturilor</w:t>
            </w:r>
            <w:proofErr w:type="spellEnd"/>
            <w:r w:rsidRPr="008A0186">
              <w:rPr>
                <w:rFonts w:asciiTheme="majorHAnsi" w:hAnsiTheme="majorHAnsi" w:cstheme="minorHAnsi"/>
                <w:color w:val="000000" w:themeColor="text1"/>
                <w:lang w:val="en-US"/>
              </w:rPr>
              <w:t xml:space="preserve"> </w:t>
            </w:r>
            <w:proofErr w:type="spellStart"/>
            <w:r w:rsidRPr="008A0186">
              <w:rPr>
                <w:rFonts w:asciiTheme="majorHAnsi" w:hAnsiTheme="majorHAnsi" w:cstheme="minorHAnsi"/>
                <w:color w:val="000000" w:themeColor="text1"/>
                <w:lang w:val="en-US"/>
              </w:rPr>
              <w:t>fiscale</w:t>
            </w:r>
            <w:proofErr w:type="spellEnd"/>
            <w:r w:rsidRPr="008A0186">
              <w:rPr>
                <w:rFonts w:asciiTheme="majorHAnsi" w:hAnsiTheme="majorHAnsi" w:cstheme="minorHAnsi"/>
                <w:color w:val="000000" w:themeColor="text1"/>
                <w:lang w:val="en-US"/>
              </w:rPr>
              <w:t xml:space="preserve"> </w:t>
            </w:r>
            <w:proofErr w:type="spellStart"/>
            <w:r w:rsidRPr="008A0186">
              <w:rPr>
                <w:rFonts w:asciiTheme="majorHAnsi" w:hAnsiTheme="majorHAnsi" w:cstheme="minorHAnsi"/>
                <w:color w:val="000000" w:themeColor="text1"/>
                <w:lang w:val="en-US"/>
              </w:rPr>
              <w:t>în</w:t>
            </w:r>
            <w:proofErr w:type="spellEnd"/>
            <w:r w:rsidRPr="008A0186">
              <w:rPr>
                <w:rFonts w:asciiTheme="majorHAnsi" w:hAnsiTheme="majorHAnsi" w:cstheme="minorHAnsi"/>
                <w:color w:val="000000" w:themeColor="text1"/>
                <w:lang w:val="en-US"/>
              </w:rPr>
              <w:t xml:space="preserve"> </w:t>
            </w:r>
            <w:proofErr w:type="spellStart"/>
            <w:r w:rsidRPr="008A0186">
              <w:rPr>
                <w:rFonts w:asciiTheme="majorHAnsi" w:hAnsiTheme="majorHAnsi" w:cstheme="minorHAnsi"/>
                <w:color w:val="000000" w:themeColor="text1"/>
                <w:lang w:val="en-US"/>
              </w:rPr>
              <w:t>decursul</w:t>
            </w:r>
            <w:proofErr w:type="spellEnd"/>
            <w:r w:rsidRPr="008A0186">
              <w:rPr>
                <w:rFonts w:asciiTheme="majorHAnsi" w:hAnsiTheme="majorHAnsi" w:cstheme="minorHAnsi"/>
                <w:color w:val="000000" w:themeColor="text1"/>
                <w:lang w:val="en-US"/>
              </w:rPr>
              <w:t xml:space="preserve"> </w:t>
            </w:r>
            <w:proofErr w:type="spellStart"/>
            <w:r w:rsidRPr="008A0186">
              <w:rPr>
                <w:rFonts w:asciiTheme="majorHAnsi" w:hAnsiTheme="majorHAnsi" w:cstheme="minorHAnsi"/>
                <w:color w:val="000000" w:themeColor="text1"/>
                <w:lang w:val="en-US"/>
              </w:rPr>
              <w:t>zilei</w:t>
            </w:r>
            <w:proofErr w:type="spellEnd"/>
            <w:r w:rsidRPr="008A0186">
              <w:rPr>
                <w:rFonts w:asciiTheme="majorHAnsi" w:hAnsiTheme="majorHAnsi" w:cstheme="minorHAnsi"/>
                <w:color w:val="000000" w:themeColor="text1"/>
                <w:lang w:val="en-US"/>
              </w:rPr>
              <w:t xml:space="preserve"> </w:t>
            </w:r>
            <w:proofErr w:type="spellStart"/>
            <w:r w:rsidRPr="008A0186">
              <w:rPr>
                <w:rFonts w:asciiTheme="majorHAnsi" w:hAnsiTheme="majorHAnsi" w:cstheme="minorHAnsi"/>
                <w:color w:val="000000" w:themeColor="text1"/>
                <w:lang w:val="en-US"/>
              </w:rPr>
              <w:t>în</w:t>
            </w:r>
            <w:proofErr w:type="spellEnd"/>
            <w:r w:rsidRPr="008A0186">
              <w:rPr>
                <w:rFonts w:asciiTheme="majorHAnsi" w:hAnsiTheme="majorHAnsi" w:cstheme="minorHAnsi"/>
                <w:color w:val="000000" w:themeColor="text1"/>
                <w:lang w:val="en-US"/>
              </w:rPr>
              <w:t xml:space="preserve"> care </w:t>
            </w:r>
            <w:proofErr w:type="spellStart"/>
            <w:r w:rsidRPr="008A0186">
              <w:rPr>
                <w:rFonts w:asciiTheme="majorHAnsi" w:hAnsiTheme="majorHAnsi" w:cstheme="minorHAnsi"/>
                <w:color w:val="000000" w:themeColor="text1"/>
                <w:lang w:val="en-US"/>
              </w:rPr>
              <w:t>aceasta</w:t>
            </w:r>
            <w:proofErr w:type="spellEnd"/>
            <w:r w:rsidRPr="008A0186">
              <w:rPr>
                <w:rFonts w:asciiTheme="majorHAnsi" w:hAnsiTheme="majorHAnsi" w:cstheme="minorHAnsi"/>
                <w:color w:val="000000" w:themeColor="text1"/>
                <w:lang w:val="en-US"/>
              </w:rPr>
              <w:t xml:space="preserve"> a </w:t>
            </w:r>
            <w:proofErr w:type="spellStart"/>
            <w:r w:rsidRPr="008A0186">
              <w:rPr>
                <w:rFonts w:asciiTheme="majorHAnsi" w:hAnsiTheme="majorHAnsi" w:cstheme="minorHAnsi"/>
                <w:color w:val="000000" w:themeColor="text1"/>
                <w:lang w:val="en-US"/>
              </w:rPr>
              <w:t>fost</w:t>
            </w:r>
            <w:proofErr w:type="spellEnd"/>
            <w:r w:rsidRPr="008A0186">
              <w:rPr>
                <w:rFonts w:asciiTheme="majorHAnsi" w:hAnsiTheme="majorHAnsi" w:cstheme="minorHAnsi"/>
                <w:color w:val="000000" w:themeColor="text1"/>
                <w:lang w:val="en-US"/>
              </w:rPr>
              <w:t xml:space="preserve"> </w:t>
            </w:r>
            <w:proofErr w:type="spellStart"/>
            <w:r w:rsidRPr="008A0186">
              <w:rPr>
                <w:rFonts w:asciiTheme="majorHAnsi" w:hAnsiTheme="majorHAnsi" w:cstheme="minorHAnsi"/>
                <w:color w:val="000000" w:themeColor="text1"/>
                <w:lang w:val="en-US"/>
              </w:rPr>
              <w:t>eliberată</w:t>
            </w:r>
            <w:proofErr w:type="spellEnd"/>
            <w:r w:rsidRPr="008A0186">
              <w:rPr>
                <w:rFonts w:asciiTheme="majorHAnsi" w:hAnsiTheme="majorHAnsi" w:cstheme="minorHAnsi"/>
                <w:color w:val="000000" w:themeColor="text1"/>
                <w:lang w:val="en-US"/>
              </w:rPr>
              <w:t xml:space="preserve">, </w:t>
            </w:r>
            <w:proofErr w:type="spellStart"/>
            <w:r w:rsidRPr="008A0186">
              <w:rPr>
                <w:rFonts w:asciiTheme="majorHAnsi" w:hAnsiTheme="majorHAnsi" w:cstheme="minorHAnsi"/>
                <w:color w:val="000000" w:themeColor="text1"/>
                <w:lang w:val="en-US"/>
              </w:rPr>
              <w:t>în</w:t>
            </w:r>
            <w:proofErr w:type="spellEnd"/>
            <w:r w:rsidRPr="008A0186">
              <w:rPr>
                <w:rFonts w:asciiTheme="majorHAnsi" w:hAnsiTheme="majorHAnsi" w:cstheme="minorHAnsi"/>
                <w:color w:val="000000" w:themeColor="text1"/>
                <w:lang w:val="en-US"/>
              </w:rPr>
              <w:t xml:space="preserve"> </w:t>
            </w:r>
            <w:proofErr w:type="spellStart"/>
            <w:r w:rsidRPr="008A0186">
              <w:rPr>
                <w:rFonts w:asciiTheme="majorHAnsi" w:hAnsiTheme="majorHAnsi" w:cstheme="minorHAnsi"/>
                <w:color w:val="000000" w:themeColor="text1"/>
                <w:lang w:val="en-US"/>
              </w:rPr>
              <w:t>cazul</w:t>
            </w:r>
            <w:proofErr w:type="spellEnd"/>
            <w:r w:rsidRPr="008A0186">
              <w:rPr>
                <w:rFonts w:asciiTheme="majorHAnsi" w:hAnsiTheme="majorHAnsi" w:cstheme="minorHAnsi"/>
                <w:color w:val="000000" w:themeColor="text1"/>
                <w:lang w:val="en-US"/>
              </w:rPr>
              <w:t xml:space="preserve"> </w:t>
            </w:r>
            <w:proofErr w:type="spellStart"/>
            <w:r w:rsidRPr="008A0186">
              <w:rPr>
                <w:rFonts w:asciiTheme="majorHAnsi" w:hAnsiTheme="majorHAnsi" w:cstheme="minorHAnsi"/>
                <w:color w:val="000000" w:themeColor="text1"/>
                <w:lang w:val="en-US"/>
              </w:rPr>
              <w:t>în</w:t>
            </w:r>
            <w:proofErr w:type="spellEnd"/>
            <w:r w:rsidRPr="008A0186">
              <w:rPr>
                <w:rFonts w:asciiTheme="majorHAnsi" w:hAnsiTheme="majorHAnsi" w:cstheme="minorHAnsi"/>
                <w:color w:val="000000" w:themeColor="text1"/>
                <w:lang w:val="en-US"/>
              </w:rPr>
              <w:t xml:space="preserve"> care </w:t>
            </w:r>
            <w:proofErr w:type="spellStart"/>
            <w:r w:rsidRPr="008A0186">
              <w:rPr>
                <w:rFonts w:asciiTheme="majorHAnsi" w:hAnsiTheme="majorHAnsi" w:cstheme="minorHAnsi"/>
                <w:color w:val="000000" w:themeColor="text1"/>
                <w:lang w:val="en-US"/>
              </w:rPr>
              <w:t>totalul</w:t>
            </w:r>
            <w:proofErr w:type="spellEnd"/>
            <w:r w:rsidRPr="008A0186">
              <w:rPr>
                <w:rFonts w:asciiTheme="majorHAnsi" w:hAnsiTheme="majorHAnsi" w:cstheme="minorHAnsi"/>
                <w:color w:val="000000" w:themeColor="text1"/>
                <w:lang w:val="en-US"/>
              </w:rPr>
              <w:t xml:space="preserve"> </w:t>
            </w:r>
            <w:proofErr w:type="spellStart"/>
            <w:r w:rsidRPr="008A0186">
              <w:rPr>
                <w:rFonts w:asciiTheme="majorHAnsi" w:hAnsiTheme="majorHAnsi" w:cstheme="minorHAnsi"/>
                <w:color w:val="000000" w:themeColor="text1"/>
                <w:lang w:val="en-US"/>
              </w:rPr>
              <w:t>valorii</w:t>
            </w:r>
            <w:proofErr w:type="spellEnd"/>
            <w:r w:rsidRPr="008A0186">
              <w:rPr>
                <w:rFonts w:asciiTheme="majorHAnsi" w:hAnsiTheme="majorHAnsi" w:cstheme="minorHAnsi"/>
                <w:color w:val="000000" w:themeColor="text1"/>
                <w:lang w:val="en-US"/>
              </w:rPr>
              <w:t xml:space="preserve"> </w:t>
            </w:r>
            <w:proofErr w:type="spellStart"/>
            <w:r w:rsidRPr="008A0186">
              <w:rPr>
                <w:rFonts w:asciiTheme="majorHAnsi" w:hAnsiTheme="majorHAnsi" w:cstheme="minorHAnsi"/>
                <w:color w:val="000000" w:themeColor="text1"/>
                <w:lang w:val="en-US"/>
              </w:rPr>
              <w:t>impozabile</w:t>
            </w:r>
            <w:proofErr w:type="spellEnd"/>
            <w:r w:rsidRPr="008A0186">
              <w:rPr>
                <w:rFonts w:asciiTheme="majorHAnsi" w:hAnsiTheme="majorHAnsi" w:cstheme="minorHAnsi"/>
                <w:color w:val="000000" w:themeColor="text1"/>
                <w:lang w:val="en-US"/>
              </w:rPr>
              <w:t xml:space="preserve"> a </w:t>
            </w:r>
            <w:proofErr w:type="spellStart"/>
            <w:r w:rsidRPr="008A0186">
              <w:rPr>
                <w:rFonts w:asciiTheme="majorHAnsi" w:hAnsiTheme="majorHAnsi" w:cstheme="minorHAnsi"/>
                <w:color w:val="000000" w:themeColor="text1"/>
                <w:lang w:val="en-US"/>
              </w:rPr>
              <w:t>livrării</w:t>
            </w:r>
            <w:proofErr w:type="spellEnd"/>
            <w:r w:rsidRPr="008A0186">
              <w:rPr>
                <w:rFonts w:asciiTheme="majorHAnsi" w:hAnsiTheme="majorHAnsi" w:cstheme="minorHAnsi"/>
                <w:color w:val="000000" w:themeColor="text1"/>
                <w:lang w:val="en-US"/>
              </w:rPr>
              <w:t xml:space="preserve"> </w:t>
            </w:r>
            <w:proofErr w:type="spellStart"/>
            <w:r w:rsidRPr="008A0186">
              <w:rPr>
                <w:rFonts w:asciiTheme="majorHAnsi" w:hAnsiTheme="majorHAnsi" w:cstheme="minorHAnsi"/>
                <w:color w:val="000000" w:themeColor="text1"/>
                <w:lang w:val="en-US"/>
              </w:rPr>
              <w:t>impozabile</w:t>
            </w:r>
            <w:proofErr w:type="spellEnd"/>
            <w:r w:rsidRPr="008A0186">
              <w:rPr>
                <w:rFonts w:asciiTheme="majorHAnsi" w:hAnsiTheme="majorHAnsi" w:cstheme="minorHAnsi"/>
                <w:color w:val="000000" w:themeColor="text1"/>
                <w:lang w:val="en-US"/>
              </w:rPr>
              <w:t xml:space="preserve"> cu T.V.A. </w:t>
            </w:r>
            <w:proofErr w:type="spellStart"/>
            <w:r w:rsidRPr="008A0186">
              <w:rPr>
                <w:rFonts w:asciiTheme="majorHAnsi" w:hAnsiTheme="majorHAnsi" w:cstheme="minorHAnsi"/>
                <w:color w:val="000000" w:themeColor="text1"/>
                <w:lang w:val="en-US"/>
              </w:rPr>
              <w:t>depăşeşte</w:t>
            </w:r>
            <w:proofErr w:type="spellEnd"/>
            <w:r w:rsidRPr="008A0186">
              <w:rPr>
                <w:rFonts w:asciiTheme="majorHAnsi" w:hAnsiTheme="majorHAnsi" w:cstheme="minorHAnsi"/>
                <w:color w:val="000000" w:themeColor="text1"/>
                <w:lang w:val="en-US"/>
              </w:rPr>
              <w:t xml:space="preserve"> </w:t>
            </w:r>
            <w:proofErr w:type="spellStart"/>
            <w:r w:rsidRPr="008A0186">
              <w:rPr>
                <w:rFonts w:asciiTheme="majorHAnsi" w:hAnsiTheme="majorHAnsi" w:cstheme="minorHAnsi"/>
                <w:color w:val="000000" w:themeColor="text1"/>
                <w:lang w:val="en-US"/>
              </w:rPr>
              <w:t>suma</w:t>
            </w:r>
            <w:proofErr w:type="spellEnd"/>
            <w:r w:rsidRPr="008A0186">
              <w:rPr>
                <w:rFonts w:asciiTheme="majorHAnsi" w:hAnsiTheme="majorHAnsi" w:cstheme="minorHAnsi"/>
                <w:color w:val="000000" w:themeColor="text1"/>
                <w:lang w:val="en-US"/>
              </w:rPr>
              <w:t xml:space="preserve"> de:</w:t>
            </w:r>
          </w:p>
          <w:p w:rsidR="008A0186" w:rsidRPr="008A0186" w:rsidRDefault="008A0186" w:rsidP="008A0186">
            <w:pPr>
              <w:pStyle w:val="af6"/>
              <w:numPr>
                <w:ilvl w:val="0"/>
                <w:numId w:val="41"/>
              </w:numPr>
              <w:spacing w:before="120" w:after="120" w:line="240" w:lineRule="atLeast"/>
              <w:jc w:val="both"/>
              <w:rPr>
                <w:rFonts w:asciiTheme="majorHAnsi" w:hAnsiTheme="majorHAnsi" w:cstheme="minorHAnsi"/>
                <w:color w:val="000000" w:themeColor="text1"/>
                <w:lang w:val="en-US"/>
              </w:rPr>
            </w:pPr>
            <w:r w:rsidRPr="008A0186">
              <w:rPr>
                <w:rFonts w:asciiTheme="majorHAnsi" w:hAnsiTheme="majorHAnsi" w:cstheme="minorHAnsi"/>
                <w:color w:val="000000" w:themeColor="text1"/>
                <w:lang w:val="en-US"/>
              </w:rPr>
              <w:t xml:space="preserve">100,000 lei – </w:t>
            </w:r>
            <w:proofErr w:type="spellStart"/>
            <w:r w:rsidRPr="008A0186">
              <w:rPr>
                <w:rFonts w:asciiTheme="majorHAnsi" w:hAnsiTheme="majorHAnsi" w:cstheme="minorHAnsi"/>
                <w:color w:val="000000" w:themeColor="text1"/>
                <w:lang w:val="en-US"/>
              </w:rPr>
              <w:t>începînd</w:t>
            </w:r>
            <w:proofErr w:type="spellEnd"/>
            <w:r w:rsidRPr="008A0186">
              <w:rPr>
                <w:rFonts w:asciiTheme="majorHAnsi" w:hAnsiTheme="majorHAnsi" w:cstheme="minorHAnsi"/>
                <w:color w:val="000000" w:themeColor="text1"/>
                <w:lang w:val="en-US"/>
              </w:rPr>
              <w:t xml:space="preserve"> cu 1 </w:t>
            </w:r>
            <w:proofErr w:type="spellStart"/>
            <w:r w:rsidRPr="008A0186">
              <w:rPr>
                <w:rFonts w:asciiTheme="majorHAnsi" w:hAnsiTheme="majorHAnsi" w:cstheme="minorHAnsi"/>
                <w:color w:val="000000" w:themeColor="text1"/>
                <w:lang w:val="en-US"/>
              </w:rPr>
              <w:t>iulie</w:t>
            </w:r>
            <w:proofErr w:type="spellEnd"/>
            <w:r w:rsidRPr="008A0186">
              <w:rPr>
                <w:rFonts w:asciiTheme="majorHAnsi" w:hAnsiTheme="majorHAnsi" w:cstheme="minorHAnsi"/>
                <w:color w:val="000000" w:themeColor="text1"/>
                <w:lang w:val="en-US"/>
              </w:rPr>
              <w:t xml:space="preserve"> 2012</w:t>
            </w:r>
          </w:p>
          <w:p w:rsidR="008A0186" w:rsidRPr="008A0186" w:rsidRDefault="008A0186" w:rsidP="008A0186">
            <w:pPr>
              <w:pStyle w:val="af6"/>
              <w:numPr>
                <w:ilvl w:val="0"/>
                <w:numId w:val="41"/>
              </w:numPr>
              <w:spacing w:before="120" w:after="120" w:line="240" w:lineRule="atLeast"/>
              <w:jc w:val="both"/>
              <w:rPr>
                <w:rFonts w:asciiTheme="majorHAnsi" w:hAnsiTheme="majorHAnsi" w:cstheme="minorHAnsi"/>
                <w:color w:val="000000" w:themeColor="text1"/>
                <w:lang w:val="en-US"/>
              </w:rPr>
            </w:pPr>
            <w:r w:rsidRPr="008A0186">
              <w:rPr>
                <w:rFonts w:asciiTheme="majorHAnsi" w:hAnsiTheme="majorHAnsi" w:cstheme="minorHAnsi"/>
                <w:color w:val="000000" w:themeColor="text1"/>
                <w:lang w:val="en-US"/>
              </w:rPr>
              <w:t xml:space="preserve">50,000 lei – </w:t>
            </w:r>
            <w:proofErr w:type="spellStart"/>
            <w:r w:rsidRPr="008A0186">
              <w:rPr>
                <w:rFonts w:asciiTheme="majorHAnsi" w:hAnsiTheme="majorHAnsi" w:cstheme="minorHAnsi"/>
                <w:color w:val="000000" w:themeColor="text1"/>
                <w:lang w:val="en-US"/>
              </w:rPr>
              <w:t>începînd</w:t>
            </w:r>
            <w:proofErr w:type="spellEnd"/>
            <w:r w:rsidRPr="008A0186">
              <w:rPr>
                <w:rFonts w:asciiTheme="majorHAnsi" w:hAnsiTheme="majorHAnsi" w:cstheme="minorHAnsi"/>
                <w:color w:val="000000" w:themeColor="text1"/>
                <w:lang w:val="en-US"/>
              </w:rPr>
              <w:t xml:space="preserve"> cu 1 </w:t>
            </w:r>
            <w:proofErr w:type="spellStart"/>
            <w:r w:rsidRPr="008A0186">
              <w:rPr>
                <w:rFonts w:asciiTheme="majorHAnsi" w:hAnsiTheme="majorHAnsi" w:cstheme="minorHAnsi"/>
                <w:color w:val="000000" w:themeColor="text1"/>
                <w:lang w:val="en-US"/>
              </w:rPr>
              <w:t>ianuarie</w:t>
            </w:r>
            <w:proofErr w:type="spellEnd"/>
            <w:r w:rsidRPr="008A0186">
              <w:rPr>
                <w:rFonts w:asciiTheme="majorHAnsi" w:hAnsiTheme="majorHAnsi" w:cstheme="minorHAnsi"/>
                <w:color w:val="000000" w:themeColor="text1"/>
                <w:lang w:val="en-US"/>
              </w:rPr>
              <w:t xml:space="preserve"> 2013</w:t>
            </w:r>
          </w:p>
          <w:p w:rsidR="008A0186" w:rsidRPr="008A0186" w:rsidRDefault="008A0186" w:rsidP="008A0186">
            <w:pPr>
              <w:pStyle w:val="af6"/>
              <w:numPr>
                <w:ilvl w:val="0"/>
                <w:numId w:val="41"/>
              </w:numPr>
              <w:spacing w:before="120" w:after="120" w:line="240" w:lineRule="atLeast"/>
              <w:jc w:val="both"/>
              <w:rPr>
                <w:rFonts w:asciiTheme="majorHAnsi" w:hAnsiTheme="majorHAnsi" w:cstheme="minorHAnsi"/>
                <w:color w:val="000000" w:themeColor="text1"/>
                <w:lang w:val="en-US"/>
              </w:rPr>
            </w:pPr>
            <w:r w:rsidRPr="008A0186">
              <w:rPr>
                <w:rFonts w:asciiTheme="majorHAnsi" w:hAnsiTheme="majorHAnsi" w:cstheme="minorHAnsi"/>
                <w:color w:val="000000" w:themeColor="text1"/>
                <w:lang w:val="en-US"/>
              </w:rPr>
              <w:t xml:space="preserve">10,000 lei – </w:t>
            </w:r>
            <w:proofErr w:type="spellStart"/>
            <w:r w:rsidRPr="008A0186">
              <w:rPr>
                <w:rFonts w:asciiTheme="majorHAnsi" w:hAnsiTheme="majorHAnsi" w:cstheme="minorHAnsi"/>
                <w:color w:val="000000" w:themeColor="text1"/>
                <w:lang w:val="en-US"/>
              </w:rPr>
              <w:t>începînd</w:t>
            </w:r>
            <w:proofErr w:type="spellEnd"/>
            <w:r w:rsidRPr="008A0186">
              <w:rPr>
                <w:rFonts w:asciiTheme="majorHAnsi" w:hAnsiTheme="majorHAnsi" w:cstheme="minorHAnsi"/>
                <w:color w:val="000000" w:themeColor="text1"/>
                <w:lang w:val="en-US"/>
              </w:rPr>
              <w:t xml:space="preserve"> cu 1 </w:t>
            </w:r>
            <w:proofErr w:type="spellStart"/>
            <w:r w:rsidRPr="008A0186">
              <w:rPr>
                <w:rFonts w:asciiTheme="majorHAnsi" w:hAnsiTheme="majorHAnsi" w:cstheme="minorHAnsi"/>
                <w:color w:val="000000" w:themeColor="text1"/>
                <w:lang w:val="en-US"/>
              </w:rPr>
              <w:t>ianuarie</w:t>
            </w:r>
            <w:proofErr w:type="spellEnd"/>
            <w:r w:rsidRPr="008A0186">
              <w:rPr>
                <w:rFonts w:asciiTheme="majorHAnsi" w:hAnsiTheme="majorHAnsi" w:cstheme="minorHAnsi"/>
                <w:color w:val="000000" w:themeColor="text1"/>
                <w:lang w:val="en-US"/>
              </w:rPr>
              <w:t xml:space="preserve"> 2014</w:t>
            </w:r>
          </w:p>
          <w:p w:rsidR="005F31DE" w:rsidRDefault="008A0186" w:rsidP="008A0186">
            <w:pPr>
              <w:spacing w:before="120" w:after="120" w:line="240" w:lineRule="atLeast"/>
              <w:rPr>
                <w:rFonts w:asciiTheme="majorHAnsi" w:hAnsiTheme="majorHAnsi" w:cstheme="minorHAnsi"/>
                <w:color w:val="000000" w:themeColor="text1"/>
                <w:lang w:val="ro-RO"/>
              </w:rPr>
            </w:pPr>
            <w:r w:rsidRPr="008A0186">
              <w:rPr>
                <w:rFonts w:asciiTheme="majorHAnsi" w:hAnsiTheme="majorHAnsi" w:cstheme="minorHAnsi"/>
                <w:color w:val="000000" w:themeColor="text1"/>
                <w:lang w:val="ro-RO"/>
              </w:rPr>
              <w:t xml:space="preserve">Considerăm că introducerea acestei norme privind obligaţia de completare a Registrului electronic reprezintă o povara administrativă adiţională pentru contribuabili. </w:t>
            </w:r>
          </w:p>
          <w:p w:rsidR="0081581E" w:rsidRDefault="005F31DE" w:rsidP="008A0186">
            <w:pPr>
              <w:spacing w:before="120" w:after="120" w:line="240" w:lineRule="atLeast"/>
              <w:rPr>
                <w:rFonts w:asciiTheme="majorHAnsi" w:hAnsiTheme="majorHAnsi" w:cstheme="minorHAnsi"/>
                <w:color w:val="000000" w:themeColor="text1"/>
                <w:lang w:val="ro-RO"/>
              </w:rPr>
            </w:pPr>
            <w:r>
              <w:rPr>
                <w:rFonts w:asciiTheme="majorHAnsi" w:hAnsiTheme="majorHAnsi" w:cstheme="minorHAnsi"/>
                <w:color w:val="000000" w:themeColor="text1"/>
                <w:lang w:val="ro-RO"/>
              </w:rPr>
              <w:t xml:space="preserve">Aceasta norma ar crea o povara administrativa pentru contribuabiulii de buna credinţă şi ar atrage consumarea mai multor resurse umane si administrative dedicate acestui proces, iar ca rezultat reducerea eficienţei în activitatea de afaceri a companiilor care este scopul primordial al unui antreprenor. </w:t>
            </w:r>
          </w:p>
          <w:p w:rsidR="0081581E" w:rsidRPr="0081581E" w:rsidRDefault="0081581E" w:rsidP="0081581E">
            <w:pPr>
              <w:spacing w:before="120" w:after="120" w:line="240" w:lineRule="atLeast"/>
              <w:rPr>
                <w:rFonts w:asciiTheme="majorHAnsi" w:hAnsiTheme="majorHAnsi" w:cstheme="minorHAnsi"/>
                <w:color w:val="000000" w:themeColor="text1"/>
                <w:lang w:val="ro-RO"/>
              </w:rPr>
            </w:pPr>
            <w:r>
              <w:rPr>
                <w:rFonts w:asciiTheme="majorHAnsi" w:hAnsiTheme="majorHAnsi" w:cstheme="minorHAnsi"/>
                <w:color w:val="000000" w:themeColor="text1"/>
                <w:lang w:val="ro-RO"/>
              </w:rPr>
              <w:t>Mai mult decit atat, a</w:t>
            </w:r>
            <w:r w:rsidRPr="0081581E">
              <w:rPr>
                <w:rFonts w:asciiTheme="majorHAnsi" w:hAnsiTheme="majorHAnsi" w:cstheme="minorHAnsi"/>
                <w:color w:val="000000" w:themeColor="text1"/>
                <w:lang w:val="ro-RO"/>
              </w:rPr>
              <w:t xml:space="preserve">utoritatile fiscale dispun de informatii privind livrarile efectuate de platitorii </w:t>
            </w:r>
            <w:r w:rsidRPr="0081581E">
              <w:rPr>
                <w:rFonts w:asciiTheme="majorHAnsi" w:hAnsiTheme="majorHAnsi" w:cstheme="minorHAnsi"/>
                <w:color w:val="000000" w:themeColor="text1"/>
                <w:lang w:val="ro-RO"/>
              </w:rPr>
              <w:lastRenderedPageBreak/>
              <w:t xml:space="preserve">de TVA, prin colectarea informatiilor de la cumparatorii de marfuri si beneficiarii de servicii care depun in mod obligatoriu </w:t>
            </w:r>
            <w:r>
              <w:rPr>
                <w:rFonts w:asciiTheme="majorHAnsi" w:hAnsiTheme="majorHAnsi" w:cstheme="minorHAnsi"/>
                <w:color w:val="000000" w:themeColor="text1"/>
                <w:lang w:val="ro-RO"/>
              </w:rPr>
              <w:t>A</w:t>
            </w:r>
            <w:r w:rsidRPr="0081581E">
              <w:rPr>
                <w:rFonts w:asciiTheme="majorHAnsi" w:hAnsiTheme="majorHAnsi" w:cstheme="minorHAnsi"/>
                <w:color w:val="000000" w:themeColor="text1"/>
                <w:lang w:val="ro-RO"/>
              </w:rPr>
              <w:t xml:space="preserve">nexele la Declaratiile TVA cu detalierea informatiilor aferente achizitiilor efectuate. </w:t>
            </w:r>
            <w:r>
              <w:rPr>
                <w:rFonts w:asciiTheme="majorHAnsi" w:hAnsiTheme="majorHAnsi" w:cstheme="minorHAnsi"/>
                <w:color w:val="000000" w:themeColor="text1"/>
                <w:lang w:val="ro-RO"/>
              </w:rPr>
              <w:t xml:space="preserve">Respectiv aceasta norma este </w:t>
            </w:r>
            <w:r w:rsidRPr="0081581E">
              <w:rPr>
                <w:rFonts w:asciiTheme="majorHAnsi" w:hAnsiTheme="majorHAnsi" w:cstheme="minorHAnsi"/>
                <w:color w:val="000000" w:themeColor="text1"/>
                <w:lang w:val="ro-RO"/>
              </w:rPr>
              <w:t>contrar</w:t>
            </w:r>
            <w:r>
              <w:rPr>
                <w:rFonts w:asciiTheme="majorHAnsi" w:hAnsiTheme="majorHAnsi" w:cstheme="minorHAnsi"/>
                <w:color w:val="000000" w:themeColor="text1"/>
                <w:lang w:val="ro-RO"/>
              </w:rPr>
              <w:t>a</w:t>
            </w:r>
            <w:r w:rsidRPr="0081581E">
              <w:rPr>
                <w:rFonts w:asciiTheme="majorHAnsi" w:hAnsiTheme="majorHAnsi" w:cstheme="minorHAnsi"/>
                <w:color w:val="000000" w:themeColor="text1"/>
                <w:lang w:val="ro-RO"/>
              </w:rPr>
              <w:t xml:space="preserve"> principiului de baza mentionat in art. 6 al Codului Fiscal, randamentul impozitelor - perceperea impozitelor si taxelor cu minim de cheltuieli, cit mai acceptabile pentru contribuabili.</w:t>
            </w:r>
          </w:p>
          <w:p w:rsidR="00A40C0B" w:rsidRPr="008A0186" w:rsidRDefault="0081581E" w:rsidP="0081581E">
            <w:pPr>
              <w:spacing w:before="120" w:after="120"/>
              <w:rPr>
                <w:rFonts w:asciiTheme="majorHAnsi" w:hAnsiTheme="majorHAnsi" w:cstheme="minorHAnsi"/>
                <w:color w:val="000000" w:themeColor="text1"/>
                <w:u w:val="single"/>
                <w:lang w:val="ro-RO"/>
              </w:rPr>
            </w:pPr>
            <w:r>
              <w:rPr>
                <w:rFonts w:asciiTheme="majorHAnsi" w:hAnsiTheme="majorHAnsi" w:cstheme="minorHAnsi"/>
                <w:color w:val="000000" w:themeColor="text1"/>
                <w:lang w:val="ro-RO"/>
              </w:rPr>
              <w:t>Respectiv propunem anularea acestui concept de raportare sau in vederea reducerii poverii asupra mediului de afaceri - de a extinde termentul de raportare pina la sfirsitul lunii urmatoare lunii de gestiune. Ultima alternativa a fost preluata in final si de administratia fiscala a Ucrainei in sensul raportarii facturilor livrate de agentii economici se face in curs de 20 de zile de la data emiterii facturii.</w:t>
            </w:r>
          </w:p>
        </w:tc>
      </w:tr>
      <w:tr w:rsidR="00CF583F" w:rsidRPr="001B1C1C" w:rsidTr="001331E0">
        <w:trPr>
          <w:trHeight w:val="70"/>
        </w:trPr>
        <w:tc>
          <w:tcPr>
            <w:tcW w:w="360" w:type="dxa"/>
          </w:tcPr>
          <w:p w:rsidR="00CF583F" w:rsidRPr="008A0186" w:rsidRDefault="008871CA" w:rsidP="00A40C0B">
            <w:pPr>
              <w:tabs>
                <w:tab w:val="left" w:pos="1080"/>
              </w:tabs>
              <w:spacing w:before="120" w:after="120"/>
              <w:rPr>
                <w:rFonts w:asciiTheme="majorHAnsi" w:hAnsiTheme="majorHAnsi" w:cstheme="minorHAnsi"/>
                <w:lang w:val="ro-RO"/>
              </w:rPr>
            </w:pPr>
            <w:r>
              <w:rPr>
                <w:rFonts w:asciiTheme="majorHAnsi" w:hAnsiTheme="majorHAnsi" w:cstheme="minorHAnsi"/>
                <w:lang w:val="ro-RO"/>
              </w:rPr>
              <w:lastRenderedPageBreak/>
              <w:t>5</w:t>
            </w:r>
          </w:p>
        </w:tc>
        <w:tc>
          <w:tcPr>
            <w:tcW w:w="2340" w:type="dxa"/>
          </w:tcPr>
          <w:p w:rsidR="00CF583F" w:rsidRPr="008A0186" w:rsidRDefault="00CF583F" w:rsidP="00CF583F">
            <w:pPr>
              <w:tabs>
                <w:tab w:val="left" w:pos="1080"/>
              </w:tabs>
              <w:spacing w:before="120" w:after="120"/>
              <w:rPr>
                <w:rFonts w:asciiTheme="majorHAnsi" w:hAnsiTheme="majorHAnsi" w:cstheme="minorHAnsi"/>
                <w:lang w:val="ro-RO"/>
              </w:rPr>
            </w:pPr>
            <w:r>
              <w:rPr>
                <w:rFonts w:asciiTheme="majorHAnsi" w:hAnsiTheme="majorHAnsi" w:cstheme="minorHAnsi"/>
                <w:lang w:val="ro-RO"/>
              </w:rPr>
              <w:t>Revizuirea regimului fiscal aplicabil tranzacţiilor cu agenţii economici din Transnistria</w:t>
            </w:r>
          </w:p>
        </w:tc>
        <w:tc>
          <w:tcPr>
            <w:tcW w:w="8820" w:type="dxa"/>
          </w:tcPr>
          <w:p w:rsidR="00CF583F" w:rsidRPr="008A0186" w:rsidRDefault="00CF583F" w:rsidP="00CF583F">
            <w:pPr>
              <w:shd w:val="clear" w:color="auto" w:fill="FFFFFF"/>
              <w:spacing w:before="120" w:after="120"/>
              <w:rPr>
                <w:rFonts w:asciiTheme="majorHAnsi" w:hAnsiTheme="majorHAnsi" w:cstheme="minorHAnsi"/>
                <w:color w:val="000000" w:themeColor="text1"/>
                <w:lang w:val="ro-RO"/>
              </w:rPr>
            </w:pPr>
            <w:r w:rsidRPr="00CF583F">
              <w:rPr>
                <w:rFonts w:asciiTheme="majorHAnsi" w:hAnsiTheme="majorHAnsi" w:cstheme="minorHAnsi"/>
                <w:color w:val="000000" w:themeColor="text1"/>
                <w:lang w:val="ro-RO"/>
              </w:rPr>
              <w:t>Luand in consider</w:t>
            </w:r>
            <w:r>
              <w:rPr>
                <w:rFonts w:asciiTheme="majorHAnsi" w:hAnsiTheme="majorHAnsi" w:cstheme="minorHAnsi"/>
                <w:color w:val="000000" w:themeColor="text1"/>
                <w:lang w:val="ro-RO"/>
              </w:rPr>
              <w:t>are sporirea ritmului economic şi majorarea numă</w:t>
            </w:r>
            <w:r w:rsidRPr="00CF583F">
              <w:rPr>
                <w:rFonts w:asciiTheme="majorHAnsi" w:hAnsiTheme="majorHAnsi" w:cstheme="minorHAnsi"/>
                <w:color w:val="000000" w:themeColor="text1"/>
                <w:lang w:val="ro-RO"/>
              </w:rPr>
              <w:t xml:space="preserve">rului </w:t>
            </w:r>
            <w:r>
              <w:rPr>
                <w:rFonts w:asciiTheme="majorHAnsi" w:hAnsiTheme="majorHAnsi" w:cstheme="minorHAnsi"/>
                <w:color w:val="000000" w:themeColor="text1"/>
                <w:lang w:val="ro-RO"/>
              </w:rPr>
              <w:t>de tranzactii economice cu agenţ</w:t>
            </w:r>
            <w:r w:rsidRPr="00CF583F">
              <w:rPr>
                <w:rFonts w:asciiTheme="majorHAnsi" w:hAnsiTheme="majorHAnsi" w:cstheme="minorHAnsi"/>
                <w:color w:val="000000" w:themeColor="text1"/>
                <w:lang w:val="ro-RO"/>
              </w:rPr>
              <w:t>ii economici din</w:t>
            </w:r>
            <w:r>
              <w:rPr>
                <w:rFonts w:asciiTheme="majorHAnsi" w:hAnsiTheme="majorHAnsi" w:cstheme="minorHAnsi"/>
                <w:color w:val="000000" w:themeColor="text1"/>
                <w:lang w:val="ro-RO"/>
              </w:rPr>
              <w:t xml:space="preserve"> Transnistria este recomandabilă</w:t>
            </w:r>
            <w:r w:rsidRPr="00CF583F">
              <w:rPr>
                <w:rFonts w:asciiTheme="majorHAnsi" w:hAnsiTheme="majorHAnsi" w:cstheme="minorHAnsi"/>
                <w:color w:val="000000" w:themeColor="text1"/>
                <w:lang w:val="ro-RO"/>
              </w:rPr>
              <w:t xml:space="preserve"> revizuirea tratamentului fisc</w:t>
            </w:r>
            <w:r>
              <w:rPr>
                <w:rFonts w:asciiTheme="majorHAnsi" w:hAnsiTheme="majorHAnsi" w:cstheme="minorHAnsi"/>
                <w:color w:val="000000" w:themeColor="text1"/>
                <w:lang w:val="ro-RO"/>
              </w:rPr>
              <w:t>al privind impozitarea indirectă. Î</w:t>
            </w:r>
            <w:r w:rsidRPr="00CF583F">
              <w:rPr>
                <w:rFonts w:asciiTheme="majorHAnsi" w:hAnsiTheme="majorHAnsi" w:cstheme="minorHAnsi"/>
                <w:color w:val="000000" w:themeColor="text1"/>
                <w:lang w:val="ro-RO"/>
              </w:rPr>
              <w:t>n specia</w:t>
            </w:r>
            <w:r>
              <w:rPr>
                <w:rFonts w:asciiTheme="majorHAnsi" w:hAnsiTheme="majorHAnsi" w:cstheme="minorHAnsi"/>
                <w:color w:val="000000" w:themeColor="text1"/>
                <w:lang w:val="ro-RO"/>
              </w:rPr>
              <w:t>l este necesar de a fi eliminată</w:t>
            </w:r>
            <w:r w:rsidRPr="00CF583F">
              <w:rPr>
                <w:rFonts w:asciiTheme="majorHAnsi" w:hAnsiTheme="majorHAnsi" w:cstheme="minorHAnsi"/>
                <w:color w:val="000000" w:themeColor="text1"/>
                <w:lang w:val="ro-RO"/>
              </w:rPr>
              <w:t xml:space="preserve"> dubla impozitare ( ca exemplu</w:t>
            </w:r>
            <w:r>
              <w:rPr>
                <w:rFonts w:asciiTheme="majorHAnsi" w:hAnsiTheme="majorHAnsi" w:cstheme="minorHAnsi"/>
                <w:color w:val="000000" w:themeColor="text1"/>
                <w:lang w:val="ro-RO"/>
              </w:rPr>
              <w:t xml:space="preserve">, în cazul </w:t>
            </w:r>
            <w:r w:rsidRPr="00CF583F">
              <w:rPr>
                <w:rFonts w:asciiTheme="majorHAnsi" w:hAnsiTheme="majorHAnsi" w:cstheme="minorHAnsi"/>
                <w:color w:val="000000" w:themeColor="text1"/>
                <w:lang w:val="ro-RO"/>
              </w:rPr>
              <w:t>livrarilor de marfuri) pentru tranzactiile catre agentii economici din Transnistria, deoarece marfurile sunt impozitate cu TVA si accize conform normelor generale ale Codului Fiscal, iar ulterior acestea sunt taxate si cu impozit pe vinzari aplicabil conform legislatiei acestei</w:t>
            </w:r>
            <w:r>
              <w:rPr>
                <w:rFonts w:asciiTheme="majorHAnsi" w:hAnsiTheme="majorHAnsi" w:cstheme="minorHAnsi"/>
                <w:color w:val="000000" w:themeColor="text1"/>
                <w:lang w:val="ro-RO"/>
              </w:rPr>
              <w:t xml:space="preserve"> regiuni. Acest fapt influenteaz</w:t>
            </w:r>
            <w:r w:rsidRPr="00CF583F">
              <w:rPr>
                <w:rFonts w:asciiTheme="majorHAnsi" w:hAnsiTheme="majorHAnsi" w:cstheme="minorHAnsi"/>
                <w:color w:val="000000" w:themeColor="text1"/>
                <w:lang w:val="ro-RO"/>
              </w:rPr>
              <w:t>a nefavorabil asupra promovarii marfurilor si reduce nivelul de competitivitate a acesora in regiunea Transnistreana. </w:t>
            </w:r>
          </w:p>
        </w:tc>
      </w:tr>
    </w:tbl>
    <w:p w:rsidR="0047558C" w:rsidRPr="001B1C1C" w:rsidRDefault="0047558C" w:rsidP="0017733A">
      <w:pPr>
        <w:spacing w:after="0" w:line="240" w:lineRule="auto"/>
        <w:jc w:val="both"/>
        <w:rPr>
          <w:rFonts w:asciiTheme="majorHAnsi" w:hAnsiTheme="majorHAnsi" w:cstheme="minorHAnsi"/>
          <w:lang w:val="ro-RO"/>
        </w:rPr>
      </w:pPr>
    </w:p>
    <w:p w:rsidR="009016CA" w:rsidRPr="001B1C1C" w:rsidRDefault="009016CA" w:rsidP="00404348">
      <w:pPr>
        <w:pStyle w:val="af6"/>
        <w:numPr>
          <w:ilvl w:val="0"/>
          <w:numId w:val="34"/>
        </w:numPr>
        <w:spacing w:after="0" w:line="240" w:lineRule="auto"/>
        <w:jc w:val="both"/>
        <w:rPr>
          <w:rFonts w:asciiTheme="majorHAnsi" w:hAnsiTheme="majorHAnsi" w:cstheme="minorHAnsi"/>
          <w:b/>
          <w:i/>
          <w:u w:val="single"/>
          <w:lang w:val="ro-MO"/>
        </w:rPr>
      </w:pPr>
      <w:r w:rsidRPr="001B1C1C">
        <w:rPr>
          <w:rFonts w:asciiTheme="majorHAnsi" w:hAnsiTheme="majorHAnsi" w:cstheme="minorHAnsi"/>
          <w:b/>
          <w:i/>
          <w:u w:val="single"/>
          <w:lang w:val="ro-MO"/>
        </w:rPr>
        <w:t>Administrarea fiscală</w:t>
      </w:r>
    </w:p>
    <w:p w:rsidR="009016CA" w:rsidRPr="001B1C1C" w:rsidRDefault="009016CA" w:rsidP="00E54BBD">
      <w:pPr>
        <w:spacing w:after="0" w:line="240" w:lineRule="auto"/>
        <w:jc w:val="both"/>
        <w:rPr>
          <w:rFonts w:asciiTheme="majorHAnsi" w:hAnsiTheme="majorHAnsi" w:cstheme="minorHAnsi"/>
          <w:lang w:val="ro-RO"/>
        </w:rPr>
      </w:pPr>
    </w:p>
    <w:tbl>
      <w:tblPr>
        <w:tblStyle w:val="af5"/>
        <w:tblW w:w="11520" w:type="dxa"/>
        <w:tblInd w:w="-162" w:type="dxa"/>
        <w:tblLook w:val="04A0"/>
      </w:tblPr>
      <w:tblGrid>
        <w:gridCol w:w="360"/>
        <w:gridCol w:w="2340"/>
        <w:gridCol w:w="8820"/>
      </w:tblGrid>
      <w:tr w:rsidR="008A0186" w:rsidRPr="001B1C1C" w:rsidTr="00E54BBD">
        <w:tc>
          <w:tcPr>
            <w:tcW w:w="360" w:type="dxa"/>
          </w:tcPr>
          <w:p w:rsidR="008A0186" w:rsidRPr="008A0186" w:rsidRDefault="008A0186" w:rsidP="00A40C0B">
            <w:pPr>
              <w:tabs>
                <w:tab w:val="left" w:pos="1080"/>
              </w:tabs>
              <w:spacing w:before="120" w:after="120" w:line="240" w:lineRule="atLeast"/>
              <w:rPr>
                <w:rFonts w:asciiTheme="majorHAnsi" w:hAnsiTheme="majorHAnsi" w:cstheme="minorHAnsi"/>
                <w:lang w:val="ro-RO"/>
              </w:rPr>
            </w:pPr>
            <w:r w:rsidRPr="008A0186">
              <w:rPr>
                <w:rFonts w:asciiTheme="majorHAnsi" w:hAnsiTheme="majorHAnsi" w:cstheme="minorHAnsi"/>
                <w:lang w:val="ro-RO"/>
              </w:rPr>
              <w:t>1</w:t>
            </w:r>
          </w:p>
        </w:tc>
        <w:tc>
          <w:tcPr>
            <w:tcW w:w="2340" w:type="dxa"/>
          </w:tcPr>
          <w:p w:rsidR="008A0186" w:rsidRPr="008A0186" w:rsidRDefault="008A0186" w:rsidP="001331E0">
            <w:pPr>
              <w:widowControl w:val="0"/>
              <w:autoSpaceDE w:val="0"/>
              <w:autoSpaceDN w:val="0"/>
              <w:adjustRightInd w:val="0"/>
              <w:spacing w:before="120" w:after="120" w:line="240" w:lineRule="atLeast"/>
              <w:rPr>
                <w:rFonts w:asciiTheme="majorHAnsi" w:eastAsia="Arial" w:hAnsiTheme="majorHAnsi" w:cstheme="minorHAnsi"/>
                <w:lang w:val="ro-RO"/>
              </w:rPr>
            </w:pPr>
            <w:r w:rsidRPr="008A0186">
              <w:rPr>
                <w:rFonts w:asciiTheme="majorHAnsi" w:eastAsia="Arial" w:hAnsiTheme="majorHAnsi" w:cstheme="minorHAnsi"/>
                <w:lang w:val="ro-RO"/>
              </w:rPr>
              <w:t xml:space="preserve">Elaborarea şi introducerea în legislaţia fiscală a conceptului de </w:t>
            </w:r>
            <w:r w:rsidRPr="008A0186">
              <w:rPr>
                <w:rFonts w:asciiTheme="majorHAnsi" w:eastAsia="Arial" w:hAnsiTheme="majorHAnsi" w:cstheme="minorHAnsi"/>
                <w:b/>
                <w:lang w:val="ro-RO"/>
              </w:rPr>
              <w:t>„soluţie fiscală individuală anticipată”</w:t>
            </w:r>
          </w:p>
        </w:tc>
        <w:tc>
          <w:tcPr>
            <w:tcW w:w="8820" w:type="dxa"/>
          </w:tcPr>
          <w:p w:rsidR="008A0186" w:rsidRPr="008A0186" w:rsidRDefault="008A0186" w:rsidP="001331E0">
            <w:pPr>
              <w:spacing w:before="120" w:after="120" w:line="240" w:lineRule="atLeast"/>
              <w:rPr>
                <w:rFonts w:asciiTheme="majorHAnsi" w:eastAsia="Arial" w:hAnsiTheme="majorHAnsi" w:cstheme="minorHAnsi"/>
                <w:lang w:val="ro-RO"/>
              </w:rPr>
            </w:pPr>
            <w:r w:rsidRPr="008A0186">
              <w:rPr>
                <w:rFonts w:asciiTheme="majorHAnsi" w:eastAsia="Arial" w:hAnsiTheme="majorHAnsi" w:cstheme="minorHAnsi"/>
                <w:lang w:val="ro-RO"/>
              </w:rPr>
              <w:t xml:space="preserve">Conform prevederilor actuale ale Codului fiscal, legislaţia fiscală este interpretată prin intermediul instrucţiunilor, deciziilor, ordinelor, circularelor şi a altor documente elaborate de către autorităţile competente. În practica autorităţile competente pot exprima opinii contradictorii, care pot fi generale şi interpretabile sau care nu sunt publicate în mod oficial. </w:t>
            </w:r>
          </w:p>
          <w:p w:rsidR="008A0186" w:rsidRPr="008A0186" w:rsidRDefault="008A0186" w:rsidP="001331E0">
            <w:pPr>
              <w:spacing w:before="120" w:after="120" w:line="240" w:lineRule="atLeast"/>
              <w:rPr>
                <w:rFonts w:asciiTheme="majorHAnsi" w:eastAsia="Arial" w:hAnsiTheme="majorHAnsi" w:cstheme="minorHAnsi"/>
                <w:lang w:val="ro-RO"/>
              </w:rPr>
            </w:pPr>
            <w:r w:rsidRPr="008A0186">
              <w:rPr>
                <w:rFonts w:asciiTheme="majorHAnsi" w:eastAsia="Arial" w:hAnsiTheme="majorHAnsi" w:cstheme="minorHAnsi"/>
                <w:lang w:val="ro-RO"/>
              </w:rPr>
              <w:t>De aceea, este deosebit de importantă elaborarea şi introducerea unor norme in Codului fiscal care să reglementeze procedura de emitere de către autorităţile fiscale a soluţiilor fiscale individuale anticipate. Soluţiile respective vor minimiza expunerea companiilor faţă de eventuale riscuri fiscale care ar decurge din interpretarea eronată a legislaţiei fiscale.</w:t>
            </w:r>
          </w:p>
          <w:p w:rsidR="008A0186" w:rsidRPr="008A0186" w:rsidRDefault="008A0186" w:rsidP="001331E0">
            <w:pPr>
              <w:spacing w:before="120" w:after="120" w:line="240" w:lineRule="atLeast"/>
              <w:jc w:val="both"/>
              <w:rPr>
                <w:rFonts w:asciiTheme="majorHAnsi" w:hAnsiTheme="majorHAnsi" w:cstheme="minorHAnsi"/>
                <w:lang w:val="ro-RO"/>
              </w:rPr>
            </w:pPr>
            <w:r w:rsidRPr="008A0186">
              <w:rPr>
                <w:rFonts w:asciiTheme="majorHAnsi" w:eastAsia="Arial" w:hAnsiTheme="majorHAnsi" w:cstheme="minorHAnsi"/>
                <w:lang w:val="ro-RO"/>
              </w:rPr>
              <w:t>Astfel de instrument va corespunde practicii fiscale internaţionale, precum şi aşteptărilor  mediului de afaceri în Moldova.</w:t>
            </w:r>
            <w:r w:rsidRPr="008A0186">
              <w:rPr>
                <w:rFonts w:asciiTheme="majorHAnsi" w:hAnsiTheme="majorHAnsi" w:cstheme="minorHAnsi"/>
                <w:lang w:val="ro-RO"/>
              </w:rPr>
              <w:t xml:space="preserve"> Conceptul soluţiei fiscale individuale anticipate similar celui care deja există în legislaţia vamală (i.e. art.141</w:t>
            </w:r>
            <w:r w:rsidRPr="008A0186">
              <w:rPr>
                <w:rFonts w:asciiTheme="majorHAnsi" w:hAnsiTheme="majorHAnsi" w:cstheme="minorHAnsi"/>
                <w:vertAlign w:val="superscript"/>
                <w:lang w:val="ro-RO"/>
              </w:rPr>
              <w:t>3</w:t>
            </w:r>
            <w:r w:rsidRPr="008A0186">
              <w:rPr>
                <w:rFonts w:asciiTheme="majorHAnsi" w:hAnsiTheme="majorHAnsi" w:cstheme="minorHAnsi"/>
                <w:lang w:val="ro-RO"/>
              </w:rPr>
              <w:t xml:space="preserve"> al Codului Vamal).</w:t>
            </w:r>
          </w:p>
        </w:tc>
      </w:tr>
      <w:tr w:rsidR="00CE45E2" w:rsidRPr="001B1C1C" w:rsidTr="00E54BBD">
        <w:tc>
          <w:tcPr>
            <w:tcW w:w="360" w:type="dxa"/>
          </w:tcPr>
          <w:p w:rsidR="00BC0D2F" w:rsidRPr="001B1C1C" w:rsidRDefault="00B015DE" w:rsidP="00A40C0B">
            <w:pPr>
              <w:tabs>
                <w:tab w:val="left" w:pos="1080"/>
              </w:tabs>
              <w:spacing w:before="120" w:after="120" w:line="240" w:lineRule="atLeast"/>
              <w:rPr>
                <w:rFonts w:asciiTheme="majorHAnsi" w:hAnsiTheme="majorHAnsi" w:cstheme="minorHAnsi"/>
                <w:lang w:val="ro-RO"/>
              </w:rPr>
            </w:pPr>
            <w:r w:rsidRPr="001B1C1C">
              <w:rPr>
                <w:rFonts w:asciiTheme="majorHAnsi" w:hAnsiTheme="majorHAnsi" w:cstheme="minorHAnsi"/>
                <w:lang w:val="ro-RO"/>
              </w:rPr>
              <w:t>2</w:t>
            </w:r>
          </w:p>
        </w:tc>
        <w:tc>
          <w:tcPr>
            <w:tcW w:w="2340" w:type="dxa"/>
          </w:tcPr>
          <w:p w:rsidR="003A394A" w:rsidRPr="001B1C1C" w:rsidRDefault="00B015DE" w:rsidP="00A40C0B">
            <w:pPr>
              <w:tabs>
                <w:tab w:val="left" w:pos="1080"/>
              </w:tabs>
              <w:spacing w:before="120" w:after="120" w:line="240" w:lineRule="atLeast"/>
              <w:rPr>
                <w:rFonts w:asciiTheme="majorHAnsi" w:hAnsiTheme="majorHAnsi" w:cstheme="minorHAnsi"/>
                <w:b/>
                <w:lang w:val="ro-RO"/>
              </w:rPr>
            </w:pPr>
            <w:r w:rsidRPr="001B1C1C">
              <w:rPr>
                <w:rFonts w:asciiTheme="majorHAnsi" w:hAnsiTheme="majorHAnsi" w:cstheme="minorHAnsi"/>
                <w:b/>
                <w:lang w:val="ro-RO"/>
              </w:rPr>
              <w:t>Îmbunătăţirea cadrului privind administrarea fiscală în materie de control fiscal</w:t>
            </w:r>
          </w:p>
          <w:p w:rsidR="007F3B12" w:rsidRPr="001B1C1C" w:rsidRDefault="00B015DE" w:rsidP="00A40C0B">
            <w:pPr>
              <w:tabs>
                <w:tab w:val="left" w:pos="1080"/>
              </w:tabs>
              <w:spacing w:before="120" w:after="120" w:line="240" w:lineRule="atLeast"/>
              <w:rPr>
                <w:rFonts w:asciiTheme="majorHAnsi" w:hAnsiTheme="majorHAnsi" w:cstheme="minorHAnsi"/>
                <w:lang w:val="ro-RO"/>
              </w:rPr>
            </w:pPr>
            <w:r w:rsidRPr="001B1C1C">
              <w:rPr>
                <w:rFonts w:asciiTheme="majorHAnsi" w:hAnsiTheme="majorHAnsi" w:cstheme="minorHAnsi"/>
                <w:lang w:val="ro-RO"/>
              </w:rPr>
              <w:t>Art 267 alin.(3)</w:t>
            </w:r>
          </w:p>
          <w:p w:rsidR="003A394A" w:rsidRPr="001B1C1C" w:rsidRDefault="00B015DE" w:rsidP="00A40C0B">
            <w:pPr>
              <w:spacing w:before="120" w:after="120" w:line="240" w:lineRule="atLeast"/>
              <w:jc w:val="both"/>
              <w:rPr>
                <w:rFonts w:asciiTheme="majorHAnsi" w:hAnsiTheme="majorHAnsi" w:cstheme="minorHAnsi"/>
                <w:lang w:val="ro-RO"/>
              </w:rPr>
            </w:pPr>
            <w:r w:rsidRPr="001B1C1C">
              <w:rPr>
                <w:rFonts w:asciiTheme="majorHAnsi" w:hAnsiTheme="majorHAnsi" w:cstheme="minorHAnsi"/>
                <w:lang w:val="ro-RO"/>
              </w:rPr>
              <w:t>Art.252, alin. (2) şi (3)</w:t>
            </w:r>
          </w:p>
        </w:tc>
        <w:tc>
          <w:tcPr>
            <w:tcW w:w="8820" w:type="dxa"/>
          </w:tcPr>
          <w:p w:rsidR="003A394A" w:rsidRPr="001B1C1C" w:rsidRDefault="00B015DE" w:rsidP="00A40C0B">
            <w:pPr>
              <w:pStyle w:val="a2"/>
              <w:spacing w:before="120" w:after="120" w:line="240" w:lineRule="atLeast"/>
              <w:rPr>
                <w:rFonts w:asciiTheme="majorHAnsi" w:hAnsiTheme="majorHAnsi" w:cstheme="minorHAnsi"/>
                <w:lang w:val="ro-RO"/>
              </w:rPr>
            </w:pPr>
            <w:r w:rsidRPr="001B1C1C">
              <w:rPr>
                <w:rFonts w:asciiTheme="majorHAnsi" w:hAnsiTheme="majorHAnsi" w:cstheme="minorHAnsi"/>
                <w:lang w:val="ro-RO"/>
              </w:rPr>
              <w:t>În ceea ce priveşte îmbunătăţirea legislaţiei şi a practicilor în domeniul controalelor fiscale şi procedurilor de contestare, propunem elaborarea modificărilor legislaţiei fiscale cu privire la următoarele direcţii fundamentale:</w:t>
            </w:r>
          </w:p>
          <w:p w:rsidR="003A394A" w:rsidRPr="001B1C1C" w:rsidRDefault="00B015DE" w:rsidP="00A40C0B">
            <w:pPr>
              <w:pStyle w:val="a2"/>
              <w:numPr>
                <w:ilvl w:val="0"/>
                <w:numId w:val="8"/>
              </w:numPr>
              <w:spacing w:before="120" w:after="120" w:line="240" w:lineRule="atLeast"/>
              <w:rPr>
                <w:rFonts w:asciiTheme="majorHAnsi" w:hAnsiTheme="majorHAnsi" w:cstheme="minorHAnsi"/>
                <w:lang w:val="ro-RO"/>
              </w:rPr>
            </w:pPr>
            <w:r w:rsidRPr="001B1C1C">
              <w:rPr>
                <w:rFonts w:asciiTheme="majorHAnsi" w:hAnsiTheme="majorHAnsi" w:cstheme="minorHAnsi"/>
                <w:lang w:val="ro-RO"/>
              </w:rPr>
              <w:t>în procesul examinării Dezacordului pe marginea rezultatelor unui control fiscal, precum şi a Contestaţiei împotriva deciziei de sancţionare, organele fiscale urmează să fie obligate să dovedească ilegalitatea tratamentului aplicat de contribuabil, şi nu contribuabilul. Prevederi similare se regăsesc în art. 24 alin. (3) din Legea contenciosului administrativ care se bazează pe art. 53 din Constituţia Republicii Moldova;</w:t>
            </w:r>
          </w:p>
          <w:p w:rsidR="00BC0D2F" w:rsidRPr="001B1C1C" w:rsidRDefault="00B015DE" w:rsidP="00A40C0B">
            <w:pPr>
              <w:pStyle w:val="af6"/>
              <w:numPr>
                <w:ilvl w:val="0"/>
                <w:numId w:val="8"/>
              </w:numPr>
              <w:tabs>
                <w:tab w:val="left" w:pos="1080"/>
              </w:tabs>
              <w:spacing w:before="120" w:after="120" w:line="240" w:lineRule="atLeast"/>
              <w:rPr>
                <w:rFonts w:asciiTheme="majorHAnsi" w:eastAsia="Times New Roman" w:hAnsiTheme="majorHAnsi" w:cstheme="minorHAnsi"/>
                <w:u w:val="single"/>
                <w:lang w:val="ro-RO" w:eastAsia="ru-RU"/>
              </w:rPr>
            </w:pPr>
            <w:r w:rsidRPr="001B1C1C">
              <w:rPr>
                <w:rFonts w:asciiTheme="majorHAnsi" w:hAnsiTheme="majorHAnsi" w:cstheme="minorHAnsi"/>
                <w:lang w:val="ro-RO"/>
              </w:rPr>
              <w:t>depunerea de către contribuabil a contestaţiei şi/sau cererii de chemare în judecată împotriva deciziei de sancţionare urmează (i) să suspende Decizia de aplicare  sancţiunilor fiscale şi colectarea impozitelor calculate suplimentar sau (ii) în cazul în care Decizia nu este suspendată, dar în urma examinării litigiului fiscal de către instanţa de judecată se stabileşte că decizia este ilegală, contribuabilului urmează să-i fie calculată automat (fără o cerere adiţională) dobânda pentru toată perioada de la momentul achitării de către agentul economic a impozitelor şi sancţiunilor prevăzute în decizia respectivă până la data restituirii acestora.</w:t>
            </w:r>
          </w:p>
          <w:p w:rsidR="00BC0D2F" w:rsidRPr="001B1C1C" w:rsidRDefault="00B015DE" w:rsidP="00A40C0B">
            <w:pPr>
              <w:spacing w:before="120" w:after="120" w:line="240" w:lineRule="atLeast"/>
              <w:jc w:val="both"/>
              <w:rPr>
                <w:rFonts w:asciiTheme="majorHAnsi" w:hAnsiTheme="majorHAnsi" w:cstheme="minorHAnsi"/>
                <w:lang w:val="ro-RO"/>
              </w:rPr>
            </w:pPr>
            <w:r w:rsidRPr="001B1C1C">
              <w:rPr>
                <w:rFonts w:asciiTheme="majorHAnsi" w:hAnsiTheme="majorHAnsi" w:cstheme="minorHAnsi"/>
                <w:lang w:val="ro-RO"/>
              </w:rPr>
              <w:t>În acest context, potrivit prevederilor alin.(5) a art. 199 al Codului fiscal, în cazul când acţiunile organului fiscal sunt contestate, comercializarea bunurilor sechestrate şi menţionate în contestaţie sau în cererea de chemare în judecată se suspendă până la soluţionarea cauzei.</w:t>
            </w:r>
          </w:p>
          <w:p w:rsidR="00BC0D2F" w:rsidRPr="001B1C1C" w:rsidRDefault="00B015DE" w:rsidP="00A40C0B">
            <w:pPr>
              <w:spacing w:before="120" w:after="120" w:line="240" w:lineRule="atLeast"/>
              <w:jc w:val="both"/>
              <w:rPr>
                <w:rFonts w:asciiTheme="majorHAnsi" w:hAnsiTheme="majorHAnsi" w:cstheme="minorHAnsi"/>
                <w:lang w:val="ro-RO"/>
              </w:rPr>
            </w:pPr>
            <w:r w:rsidRPr="001B1C1C">
              <w:rPr>
                <w:rFonts w:asciiTheme="majorHAnsi" w:hAnsiTheme="majorHAnsi" w:cstheme="minorHAnsi"/>
                <w:lang w:val="ro-RO"/>
              </w:rPr>
              <w:t>Astfel, introducerea unor prevederi similare şi în cazul contestării deciziei asupra încălcărilor depistate în controlul fiscal, ar contribui la respectarea principiului echităţii şi tratarea pe principii egale a contribuabililor.</w:t>
            </w:r>
          </w:p>
          <w:p w:rsidR="00BC0D2F" w:rsidRPr="001B1C1C" w:rsidRDefault="00B015DE" w:rsidP="00A40C0B">
            <w:pPr>
              <w:spacing w:before="120" w:after="120" w:line="240" w:lineRule="atLeast"/>
              <w:jc w:val="both"/>
              <w:rPr>
                <w:rFonts w:asciiTheme="majorHAnsi" w:hAnsiTheme="majorHAnsi" w:cstheme="minorHAnsi"/>
                <w:lang w:val="ro-RO"/>
              </w:rPr>
            </w:pPr>
            <w:r w:rsidRPr="001B1C1C">
              <w:rPr>
                <w:rFonts w:asciiTheme="majorHAnsi" w:hAnsiTheme="majorHAnsi" w:cstheme="minorHAnsi"/>
                <w:lang w:val="ro-RO"/>
              </w:rPr>
              <w:t>Prin urmare, propunem introducerea următoarelor modificări:</w:t>
            </w:r>
          </w:p>
          <w:p w:rsidR="00B62866" w:rsidRPr="001B1C1C" w:rsidRDefault="00B015DE" w:rsidP="00A40C0B">
            <w:pPr>
              <w:pStyle w:val="af6"/>
              <w:numPr>
                <w:ilvl w:val="0"/>
                <w:numId w:val="45"/>
              </w:numPr>
              <w:spacing w:before="120" w:after="120" w:line="240" w:lineRule="atLeast"/>
              <w:jc w:val="both"/>
              <w:rPr>
                <w:rFonts w:asciiTheme="majorHAnsi" w:hAnsiTheme="majorHAnsi" w:cstheme="minorHAnsi"/>
                <w:lang w:val="ro-RO"/>
              </w:rPr>
            </w:pPr>
            <w:r w:rsidRPr="001B1C1C">
              <w:rPr>
                <w:rFonts w:asciiTheme="majorHAnsi" w:hAnsiTheme="majorHAnsi" w:cstheme="minorHAnsi"/>
                <w:lang w:val="ro-RO"/>
              </w:rPr>
              <w:t>la alin (3) al art.267 al Codului fiscal se va expune după cum urmează: „3) Obligaţia de a deovedi legalitatea deciziei emise de organul fiscal</w:t>
            </w:r>
            <w:r w:rsidR="00A40C0B" w:rsidRPr="001B1C1C">
              <w:rPr>
                <w:rFonts w:asciiTheme="majorHAnsi" w:hAnsiTheme="majorHAnsi" w:cstheme="minorHAnsi"/>
                <w:lang w:val="ro-RO"/>
              </w:rPr>
              <w:t xml:space="preserve"> se atribuie organului fiscal”.</w:t>
            </w:r>
          </w:p>
          <w:p w:rsidR="00B62866" w:rsidRPr="001B1C1C" w:rsidRDefault="00B015DE" w:rsidP="00A40C0B">
            <w:pPr>
              <w:pStyle w:val="af6"/>
              <w:numPr>
                <w:ilvl w:val="0"/>
                <w:numId w:val="45"/>
              </w:numPr>
              <w:spacing w:before="120" w:after="120" w:line="240" w:lineRule="atLeast"/>
              <w:jc w:val="both"/>
              <w:rPr>
                <w:rFonts w:asciiTheme="majorHAnsi" w:hAnsiTheme="majorHAnsi" w:cstheme="minorHAnsi"/>
                <w:lang w:val="ro-RO"/>
              </w:rPr>
            </w:pPr>
            <w:r w:rsidRPr="001B1C1C">
              <w:rPr>
                <w:rFonts w:asciiTheme="majorHAnsi" w:hAnsiTheme="majorHAnsi" w:cstheme="minorHAnsi"/>
                <w:u w:val="single"/>
                <w:lang w:val="ro-RO"/>
              </w:rPr>
              <w:t>Opţiunea 1:</w:t>
            </w:r>
            <w:r w:rsidRPr="001B1C1C">
              <w:rPr>
                <w:rFonts w:asciiTheme="majorHAnsi" w:hAnsiTheme="majorHAnsi" w:cstheme="minorHAnsi"/>
                <w:lang w:val="ro-RO"/>
              </w:rPr>
              <w:t xml:space="preserve"> </w:t>
            </w:r>
          </w:p>
          <w:p w:rsidR="00B62866" w:rsidRPr="001B1C1C" w:rsidRDefault="00B015DE" w:rsidP="00A40C0B">
            <w:pPr>
              <w:keepNext/>
              <w:keepLines/>
              <w:widowControl w:val="0"/>
              <w:numPr>
                <w:ilvl w:val="0"/>
                <w:numId w:val="28"/>
              </w:numPr>
              <w:autoSpaceDE w:val="0"/>
              <w:autoSpaceDN w:val="0"/>
              <w:adjustRightInd w:val="0"/>
              <w:spacing w:before="120" w:after="120" w:line="240" w:lineRule="atLeast"/>
              <w:jc w:val="both"/>
              <w:outlineLvl w:val="2"/>
              <w:rPr>
                <w:rFonts w:asciiTheme="majorHAnsi" w:hAnsiTheme="majorHAnsi" w:cstheme="minorHAnsi"/>
                <w:lang w:val="ro-RO"/>
              </w:rPr>
            </w:pPr>
            <w:r w:rsidRPr="001B1C1C">
              <w:rPr>
                <w:rFonts w:asciiTheme="majorHAnsi" w:hAnsiTheme="majorHAnsi" w:cstheme="minorHAnsi"/>
                <w:lang w:val="ro-RO"/>
              </w:rPr>
              <w:t xml:space="preserve">La alin (2) al art.252 al Codului fiscal se va expune in următoarea redacţie </w:t>
            </w:r>
            <w:r w:rsidRPr="001B1C1C">
              <w:rPr>
                <w:rFonts w:asciiTheme="majorHAnsi" w:hAnsiTheme="majorHAnsi" w:cstheme="minorHAnsi"/>
                <w:i/>
                <w:lang w:val="ro-RO"/>
              </w:rPr>
              <w:t xml:space="preserve">„(2) </w:t>
            </w:r>
            <w:proofErr w:type="spellStart"/>
            <w:r w:rsidRPr="001B1C1C">
              <w:rPr>
                <w:rFonts w:asciiTheme="majorHAnsi" w:hAnsiTheme="majorHAnsi" w:cstheme="minorHAnsi"/>
                <w:i/>
              </w:rPr>
              <w:lastRenderedPageBreak/>
              <w:t>Contestarea</w:t>
            </w:r>
            <w:proofErr w:type="spellEnd"/>
            <w:r w:rsidRPr="001B1C1C">
              <w:rPr>
                <w:rFonts w:asciiTheme="majorHAnsi" w:hAnsiTheme="majorHAnsi" w:cstheme="minorHAnsi"/>
                <w:i/>
              </w:rPr>
              <w:t xml:space="preserve"> </w:t>
            </w:r>
            <w:proofErr w:type="spellStart"/>
            <w:r w:rsidRPr="001B1C1C">
              <w:rPr>
                <w:rFonts w:asciiTheme="majorHAnsi" w:hAnsiTheme="majorHAnsi" w:cstheme="minorHAnsi"/>
                <w:i/>
              </w:rPr>
              <w:t>depusă</w:t>
            </w:r>
            <w:proofErr w:type="spellEnd"/>
            <w:r w:rsidRPr="001B1C1C">
              <w:rPr>
                <w:rFonts w:asciiTheme="majorHAnsi" w:hAnsiTheme="majorHAnsi" w:cstheme="minorHAnsi"/>
                <w:i/>
              </w:rPr>
              <w:t xml:space="preserve"> </w:t>
            </w:r>
            <w:proofErr w:type="spellStart"/>
            <w:r w:rsidRPr="001B1C1C">
              <w:rPr>
                <w:rFonts w:asciiTheme="majorHAnsi" w:hAnsiTheme="majorHAnsi" w:cstheme="minorHAnsi"/>
                <w:i/>
              </w:rPr>
              <w:t>în</w:t>
            </w:r>
            <w:proofErr w:type="spellEnd"/>
            <w:r w:rsidRPr="001B1C1C">
              <w:rPr>
                <w:rFonts w:asciiTheme="majorHAnsi" w:hAnsiTheme="majorHAnsi" w:cstheme="minorHAnsi"/>
                <w:i/>
              </w:rPr>
              <w:t xml:space="preserve"> </w:t>
            </w:r>
            <w:proofErr w:type="spellStart"/>
            <w:r w:rsidRPr="001B1C1C">
              <w:rPr>
                <w:rFonts w:asciiTheme="majorHAnsi" w:hAnsiTheme="majorHAnsi" w:cstheme="minorHAnsi"/>
                <w:i/>
              </w:rPr>
              <w:t>termen</w:t>
            </w:r>
            <w:proofErr w:type="spellEnd"/>
            <w:r w:rsidRPr="001B1C1C">
              <w:rPr>
                <w:rFonts w:asciiTheme="majorHAnsi" w:hAnsiTheme="majorHAnsi" w:cstheme="minorHAnsi"/>
                <w:i/>
              </w:rPr>
              <w:t xml:space="preserve"> </w:t>
            </w:r>
            <w:proofErr w:type="spellStart"/>
            <w:r w:rsidRPr="001B1C1C">
              <w:rPr>
                <w:rFonts w:asciiTheme="majorHAnsi" w:hAnsiTheme="majorHAnsi" w:cstheme="minorHAnsi"/>
                <w:i/>
              </w:rPr>
              <w:t>suspendă</w:t>
            </w:r>
            <w:proofErr w:type="spellEnd"/>
            <w:r w:rsidRPr="001B1C1C">
              <w:rPr>
                <w:rFonts w:asciiTheme="majorHAnsi" w:hAnsiTheme="majorHAnsi" w:cstheme="minorHAnsi"/>
                <w:i/>
              </w:rPr>
              <w:t xml:space="preserve"> de </w:t>
            </w:r>
            <w:proofErr w:type="spellStart"/>
            <w:r w:rsidRPr="001B1C1C">
              <w:rPr>
                <w:rFonts w:asciiTheme="majorHAnsi" w:hAnsiTheme="majorHAnsi" w:cstheme="minorHAnsi"/>
                <w:i/>
              </w:rPr>
              <w:t>drept</w:t>
            </w:r>
            <w:proofErr w:type="spellEnd"/>
            <w:r w:rsidRPr="001B1C1C">
              <w:rPr>
                <w:rFonts w:asciiTheme="majorHAnsi" w:hAnsiTheme="majorHAnsi" w:cstheme="minorHAnsi"/>
                <w:i/>
              </w:rPr>
              <w:t xml:space="preserve"> </w:t>
            </w:r>
            <w:proofErr w:type="spellStart"/>
            <w:r w:rsidRPr="001B1C1C">
              <w:rPr>
                <w:rFonts w:asciiTheme="majorHAnsi" w:hAnsiTheme="majorHAnsi" w:cstheme="minorHAnsi"/>
                <w:i/>
              </w:rPr>
              <w:t>executarea</w:t>
            </w:r>
            <w:proofErr w:type="spellEnd"/>
            <w:r w:rsidRPr="001B1C1C">
              <w:rPr>
                <w:rFonts w:asciiTheme="majorHAnsi" w:hAnsiTheme="majorHAnsi" w:cstheme="minorHAnsi"/>
                <w:i/>
              </w:rPr>
              <w:t xml:space="preserve"> </w:t>
            </w:r>
            <w:proofErr w:type="spellStart"/>
            <w:r w:rsidRPr="001B1C1C">
              <w:rPr>
                <w:rFonts w:asciiTheme="majorHAnsi" w:hAnsiTheme="majorHAnsi" w:cstheme="minorHAnsi"/>
                <w:i/>
              </w:rPr>
              <w:t>deciziei</w:t>
            </w:r>
            <w:proofErr w:type="spellEnd"/>
            <w:r w:rsidRPr="001B1C1C">
              <w:rPr>
                <w:rFonts w:asciiTheme="majorHAnsi" w:hAnsiTheme="majorHAnsi" w:cstheme="minorHAnsi"/>
                <w:i/>
              </w:rPr>
              <w:t xml:space="preserve"> </w:t>
            </w:r>
            <w:proofErr w:type="spellStart"/>
            <w:r w:rsidRPr="001B1C1C">
              <w:rPr>
                <w:rFonts w:asciiTheme="majorHAnsi" w:hAnsiTheme="majorHAnsi" w:cstheme="minorHAnsi"/>
                <w:i/>
              </w:rPr>
              <w:t>asupra</w:t>
            </w:r>
            <w:proofErr w:type="spellEnd"/>
            <w:r w:rsidRPr="001B1C1C">
              <w:rPr>
                <w:rFonts w:asciiTheme="majorHAnsi" w:hAnsiTheme="majorHAnsi" w:cstheme="minorHAnsi"/>
                <w:i/>
              </w:rPr>
              <w:t xml:space="preserve"> </w:t>
            </w:r>
            <w:proofErr w:type="spellStart"/>
            <w:r w:rsidRPr="001B1C1C">
              <w:rPr>
                <w:rFonts w:asciiTheme="majorHAnsi" w:hAnsiTheme="majorHAnsi" w:cstheme="minorHAnsi"/>
                <w:i/>
              </w:rPr>
              <w:t>cazului</w:t>
            </w:r>
            <w:proofErr w:type="spellEnd"/>
            <w:r w:rsidRPr="001B1C1C">
              <w:rPr>
                <w:rFonts w:asciiTheme="majorHAnsi" w:hAnsiTheme="majorHAnsi" w:cstheme="minorHAnsi"/>
                <w:i/>
              </w:rPr>
              <w:t xml:space="preserve"> de </w:t>
            </w:r>
            <w:proofErr w:type="spellStart"/>
            <w:r w:rsidRPr="001B1C1C">
              <w:rPr>
                <w:rFonts w:asciiTheme="majorHAnsi" w:hAnsiTheme="majorHAnsi" w:cstheme="minorHAnsi"/>
                <w:i/>
              </w:rPr>
              <w:t>încălcare</w:t>
            </w:r>
            <w:proofErr w:type="spellEnd"/>
            <w:r w:rsidRPr="001B1C1C">
              <w:rPr>
                <w:rFonts w:asciiTheme="majorHAnsi" w:hAnsiTheme="majorHAnsi" w:cstheme="minorHAnsi"/>
                <w:i/>
              </w:rPr>
              <w:t xml:space="preserve"> fiscal </w:t>
            </w:r>
            <w:proofErr w:type="spellStart"/>
            <w:r w:rsidRPr="001B1C1C">
              <w:rPr>
                <w:rFonts w:asciiTheme="majorHAnsi" w:hAnsiTheme="majorHAnsi" w:cstheme="minorHAnsi"/>
                <w:i/>
              </w:rPr>
              <w:t>pînă</w:t>
            </w:r>
            <w:proofErr w:type="spellEnd"/>
            <w:r w:rsidRPr="001B1C1C">
              <w:rPr>
                <w:rFonts w:asciiTheme="majorHAnsi" w:hAnsiTheme="majorHAnsi" w:cstheme="minorHAnsi"/>
                <w:i/>
              </w:rPr>
              <w:t xml:space="preserve"> la data </w:t>
            </w:r>
            <w:proofErr w:type="spellStart"/>
            <w:r w:rsidRPr="001B1C1C">
              <w:rPr>
                <w:rFonts w:asciiTheme="majorHAnsi" w:hAnsiTheme="majorHAnsi" w:cstheme="minorHAnsi"/>
                <w:i/>
              </w:rPr>
              <w:t>adoptării</w:t>
            </w:r>
            <w:proofErr w:type="spellEnd"/>
            <w:r w:rsidRPr="001B1C1C">
              <w:rPr>
                <w:rFonts w:asciiTheme="majorHAnsi" w:hAnsiTheme="majorHAnsi" w:cstheme="minorHAnsi"/>
                <w:i/>
              </w:rPr>
              <w:t xml:space="preserve"> </w:t>
            </w:r>
            <w:proofErr w:type="spellStart"/>
            <w:r w:rsidRPr="001B1C1C">
              <w:rPr>
                <w:rFonts w:asciiTheme="majorHAnsi" w:hAnsiTheme="majorHAnsi" w:cstheme="minorHAnsi"/>
                <w:i/>
              </w:rPr>
              <w:t>unei</w:t>
            </w:r>
            <w:proofErr w:type="spellEnd"/>
            <w:r w:rsidRPr="001B1C1C">
              <w:rPr>
                <w:rFonts w:asciiTheme="majorHAnsi" w:hAnsiTheme="majorHAnsi" w:cstheme="minorHAnsi"/>
                <w:i/>
              </w:rPr>
              <w:t xml:space="preserve"> </w:t>
            </w:r>
            <w:proofErr w:type="spellStart"/>
            <w:r w:rsidRPr="001B1C1C">
              <w:rPr>
                <w:rFonts w:asciiTheme="majorHAnsi" w:hAnsiTheme="majorHAnsi" w:cstheme="minorHAnsi"/>
                <w:i/>
              </w:rPr>
              <w:t>decizii</w:t>
            </w:r>
            <w:proofErr w:type="spellEnd"/>
            <w:r w:rsidRPr="001B1C1C">
              <w:rPr>
                <w:rFonts w:asciiTheme="majorHAnsi" w:hAnsiTheme="majorHAnsi" w:cstheme="minorHAnsi"/>
                <w:i/>
              </w:rPr>
              <w:t xml:space="preserve"> </w:t>
            </w:r>
            <w:proofErr w:type="spellStart"/>
            <w:r w:rsidRPr="001B1C1C">
              <w:rPr>
                <w:rFonts w:asciiTheme="majorHAnsi" w:hAnsiTheme="majorHAnsi" w:cstheme="minorHAnsi"/>
                <w:i/>
              </w:rPr>
              <w:t>irevocabile</w:t>
            </w:r>
            <w:proofErr w:type="spellEnd"/>
            <w:r w:rsidRPr="001B1C1C">
              <w:rPr>
                <w:rFonts w:asciiTheme="majorHAnsi" w:hAnsiTheme="majorHAnsi" w:cstheme="minorHAnsi"/>
                <w:i/>
              </w:rPr>
              <w:t xml:space="preserve"> de </w:t>
            </w:r>
            <w:proofErr w:type="spellStart"/>
            <w:r w:rsidRPr="001B1C1C">
              <w:rPr>
                <w:rFonts w:asciiTheme="majorHAnsi" w:hAnsiTheme="majorHAnsi" w:cstheme="minorHAnsi"/>
                <w:i/>
              </w:rPr>
              <w:t>către</w:t>
            </w:r>
            <w:proofErr w:type="spellEnd"/>
            <w:r w:rsidRPr="001B1C1C">
              <w:rPr>
                <w:rFonts w:asciiTheme="majorHAnsi" w:hAnsiTheme="majorHAnsi" w:cstheme="minorHAnsi"/>
                <w:i/>
              </w:rPr>
              <w:t xml:space="preserve"> </w:t>
            </w:r>
            <w:proofErr w:type="spellStart"/>
            <w:r w:rsidRPr="001B1C1C">
              <w:rPr>
                <w:rFonts w:asciiTheme="majorHAnsi" w:hAnsiTheme="majorHAnsi" w:cstheme="minorHAnsi"/>
                <w:i/>
              </w:rPr>
              <w:t>instanţa</w:t>
            </w:r>
            <w:proofErr w:type="spellEnd"/>
            <w:r w:rsidRPr="001B1C1C">
              <w:rPr>
                <w:rFonts w:asciiTheme="majorHAnsi" w:hAnsiTheme="majorHAnsi" w:cstheme="minorHAnsi"/>
                <w:i/>
              </w:rPr>
              <w:t xml:space="preserve"> de </w:t>
            </w:r>
            <w:proofErr w:type="spellStart"/>
            <w:r w:rsidRPr="001B1C1C">
              <w:rPr>
                <w:rFonts w:asciiTheme="majorHAnsi" w:hAnsiTheme="majorHAnsi" w:cstheme="minorHAnsi"/>
                <w:i/>
              </w:rPr>
              <w:t>judecată</w:t>
            </w:r>
            <w:proofErr w:type="spellEnd"/>
            <w:r w:rsidRPr="001B1C1C">
              <w:rPr>
                <w:rFonts w:asciiTheme="majorHAnsi" w:hAnsiTheme="majorHAnsi" w:cstheme="minorHAnsi"/>
                <w:i/>
              </w:rPr>
              <w:t xml:space="preserve"> (</w:t>
            </w:r>
            <w:proofErr w:type="spellStart"/>
            <w:r w:rsidRPr="001B1C1C">
              <w:rPr>
                <w:rFonts w:asciiTheme="majorHAnsi" w:hAnsiTheme="majorHAnsi" w:cstheme="minorHAnsi"/>
                <w:i/>
              </w:rPr>
              <w:t>în</w:t>
            </w:r>
            <w:proofErr w:type="spellEnd"/>
            <w:r w:rsidRPr="001B1C1C">
              <w:rPr>
                <w:rFonts w:asciiTheme="majorHAnsi" w:hAnsiTheme="majorHAnsi" w:cstheme="minorHAnsi"/>
                <w:i/>
              </w:rPr>
              <w:t xml:space="preserve"> </w:t>
            </w:r>
            <w:proofErr w:type="spellStart"/>
            <w:r w:rsidRPr="001B1C1C">
              <w:rPr>
                <w:rFonts w:asciiTheme="majorHAnsi" w:hAnsiTheme="majorHAnsi" w:cstheme="minorHAnsi"/>
                <w:i/>
              </w:rPr>
              <w:t>caz</w:t>
            </w:r>
            <w:proofErr w:type="spellEnd"/>
            <w:r w:rsidRPr="001B1C1C">
              <w:rPr>
                <w:rFonts w:asciiTheme="majorHAnsi" w:hAnsiTheme="majorHAnsi" w:cstheme="minorHAnsi"/>
                <w:i/>
              </w:rPr>
              <w:t xml:space="preserve"> de </w:t>
            </w:r>
            <w:proofErr w:type="spellStart"/>
            <w:r w:rsidRPr="001B1C1C">
              <w:rPr>
                <w:rFonts w:asciiTheme="majorHAnsi" w:hAnsiTheme="majorHAnsi" w:cstheme="minorHAnsi"/>
                <w:i/>
              </w:rPr>
              <w:t>sesizare</w:t>
            </w:r>
            <w:proofErr w:type="spellEnd"/>
            <w:r w:rsidRPr="001B1C1C">
              <w:rPr>
                <w:rFonts w:asciiTheme="majorHAnsi" w:hAnsiTheme="majorHAnsi" w:cstheme="minorHAnsi"/>
                <w:i/>
              </w:rPr>
              <w:t xml:space="preserve"> a </w:t>
            </w:r>
            <w:proofErr w:type="spellStart"/>
            <w:r w:rsidRPr="001B1C1C">
              <w:rPr>
                <w:rFonts w:asciiTheme="majorHAnsi" w:hAnsiTheme="majorHAnsi" w:cstheme="minorHAnsi"/>
                <w:i/>
              </w:rPr>
              <w:t>instanţei</w:t>
            </w:r>
            <w:proofErr w:type="spellEnd"/>
            <w:r w:rsidRPr="001B1C1C">
              <w:rPr>
                <w:rFonts w:asciiTheme="majorHAnsi" w:hAnsiTheme="majorHAnsi" w:cstheme="minorHAnsi"/>
                <w:i/>
              </w:rPr>
              <w:t xml:space="preserve"> de </w:t>
            </w:r>
            <w:proofErr w:type="spellStart"/>
            <w:r w:rsidRPr="001B1C1C">
              <w:rPr>
                <w:rFonts w:asciiTheme="majorHAnsi" w:hAnsiTheme="majorHAnsi" w:cstheme="minorHAnsi"/>
                <w:i/>
              </w:rPr>
              <w:t>judecată</w:t>
            </w:r>
            <w:proofErr w:type="spellEnd"/>
            <w:r w:rsidRPr="001B1C1C">
              <w:rPr>
                <w:rFonts w:asciiTheme="majorHAnsi" w:hAnsiTheme="majorHAnsi" w:cstheme="minorHAnsi"/>
                <w:i/>
              </w:rPr>
              <w:t xml:space="preserve"> </w:t>
            </w:r>
            <w:proofErr w:type="spellStart"/>
            <w:r w:rsidRPr="001B1C1C">
              <w:rPr>
                <w:rFonts w:asciiTheme="majorHAnsi" w:hAnsiTheme="majorHAnsi" w:cstheme="minorHAnsi"/>
                <w:i/>
              </w:rPr>
              <w:t>competente</w:t>
            </w:r>
            <w:proofErr w:type="spellEnd"/>
            <w:r w:rsidRPr="001B1C1C">
              <w:rPr>
                <w:rFonts w:asciiTheme="majorHAnsi" w:hAnsiTheme="majorHAnsi" w:cstheme="minorHAnsi"/>
                <w:i/>
              </w:rPr>
              <w:t xml:space="preserve">) </w:t>
            </w:r>
            <w:proofErr w:type="spellStart"/>
            <w:r w:rsidRPr="001B1C1C">
              <w:rPr>
                <w:rFonts w:asciiTheme="majorHAnsi" w:hAnsiTheme="majorHAnsi" w:cstheme="minorHAnsi"/>
                <w:i/>
              </w:rPr>
              <w:t>sau</w:t>
            </w:r>
            <w:proofErr w:type="spellEnd"/>
            <w:r w:rsidRPr="001B1C1C">
              <w:rPr>
                <w:rFonts w:asciiTheme="majorHAnsi" w:hAnsiTheme="majorHAnsi" w:cstheme="minorHAnsi"/>
                <w:i/>
              </w:rPr>
              <w:t xml:space="preserve"> </w:t>
            </w:r>
            <w:proofErr w:type="spellStart"/>
            <w:r w:rsidRPr="001B1C1C">
              <w:rPr>
                <w:rFonts w:asciiTheme="majorHAnsi" w:hAnsiTheme="majorHAnsi" w:cstheme="minorHAnsi"/>
                <w:i/>
              </w:rPr>
              <w:t>pînă</w:t>
            </w:r>
            <w:proofErr w:type="spellEnd"/>
            <w:r w:rsidRPr="001B1C1C">
              <w:rPr>
                <w:rFonts w:asciiTheme="majorHAnsi" w:hAnsiTheme="majorHAnsi" w:cstheme="minorHAnsi"/>
                <w:i/>
              </w:rPr>
              <w:t xml:space="preserve"> la data </w:t>
            </w:r>
            <w:proofErr w:type="spellStart"/>
            <w:r w:rsidRPr="001B1C1C">
              <w:rPr>
                <w:rFonts w:asciiTheme="majorHAnsi" w:hAnsiTheme="majorHAnsi" w:cstheme="minorHAnsi"/>
                <w:i/>
              </w:rPr>
              <w:t>expirării</w:t>
            </w:r>
            <w:proofErr w:type="spellEnd"/>
            <w:r w:rsidRPr="001B1C1C">
              <w:rPr>
                <w:rFonts w:asciiTheme="majorHAnsi" w:hAnsiTheme="majorHAnsi" w:cstheme="minorHAnsi"/>
                <w:i/>
              </w:rPr>
              <w:t xml:space="preserve"> </w:t>
            </w:r>
            <w:proofErr w:type="spellStart"/>
            <w:r w:rsidRPr="001B1C1C">
              <w:rPr>
                <w:rFonts w:asciiTheme="majorHAnsi" w:hAnsiTheme="majorHAnsi" w:cstheme="minorHAnsi"/>
                <w:i/>
              </w:rPr>
              <w:t>termenului</w:t>
            </w:r>
            <w:proofErr w:type="spellEnd"/>
            <w:r w:rsidRPr="001B1C1C">
              <w:rPr>
                <w:rFonts w:asciiTheme="majorHAnsi" w:hAnsiTheme="majorHAnsi" w:cstheme="minorHAnsi"/>
                <w:i/>
              </w:rPr>
              <w:t xml:space="preserve"> de </w:t>
            </w:r>
            <w:proofErr w:type="spellStart"/>
            <w:r w:rsidRPr="001B1C1C">
              <w:rPr>
                <w:rFonts w:asciiTheme="majorHAnsi" w:hAnsiTheme="majorHAnsi" w:cstheme="minorHAnsi"/>
                <w:i/>
              </w:rPr>
              <w:t>adresare</w:t>
            </w:r>
            <w:proofErr w:type="spellEnd"/>
            <w:r w:rsidRPr="001B1C1C">
              <w:rPr>
                <w:rFonts w:asciiTheme="majorHAnsi" w:hAnsiTheme="majorHAnsi" w:cstheme="minorHAnsi"/>
                <w:i/>
              </w:rPr>
              <w:t xml:space="preserve"> </w:t>
            </w:r>
            <w:proofErr w:type="spellStart"/>
            <w:r w:rsidRPr="001B1C1C">
              <w:rPr>
                <w:rFonts w:asciiTheme="majorHAnsi" w:hAnsiTheme="majorHAnsi" w:cstheme="minorHAnsi"/>
                <w:i/>
              </w:rPr>
              <w:t>în</w:t>
            </w:r>
            <w:proofErr w:type="spellEnd"/>
            <w:r w:rsidRPr="001B1C1C">
              <w:rPr>
                <w:rFonts w:asciiTheme="majorHAnsi" w:hAnsiTheme="majorHAnsi" w:cstheme="minorHAnsi"/>
                <w:i/>
              </w:rPr>
              <w:t xml:space="preserve"> </w:t>
            </w:r>
            <w:proofErr w:type="spellStart"/>
            <w:r w:rsidRPr="001B1C1C">
              <w:rPr>
                <w:rFonts w:asciiTheme="majorHAnsi" w:hAnsiTheme="majorHAnsi" w:cstheme="minorHAnsi"/>
                <w:i/>
              </w:rPr>
              <w:t>judecată</w:t>
            </w:r>
            <w:proofErr w:type="spellEnd"/>
            <w:r w:rsidRPr="001B1C1C">
              <w:rPr>
                <w:rFonts w:asciiTheme="majorHAnsi" w:hAnsiTheme="majorHAnsi" w:cstheme="minorHAnsi"/>
                <w:i/>
              </w:rPr>
              <w:t xml:space="preserve"> (</w:t>
            </w:r>
            <w:proofErr w:type="spellStart"/>
            <w:r w:rsidRPr="001B1C1C">
              <w:rPr>
                <w:rFonts w:asciiTheme="majorHAnsi" w:hAnsiTheme="majorHAnsi" w:cstheme="minorHAnsi"/>
                <w:i/>
              </w:rPr>
              <w:t>dacă</w:t>
            </w:r>
            <w:proofErr w:type="spellEnd"/>
            <w:r w:rsidRPr="001B1C1C">
              <w:rPr>
                <w:rFonts w:asciiTheme="majorHAnsi" w:hAnsiTheme="majorHAnsi" w:cstheme="minorHAnsi"/>
                <w:i/>
              </w:rPr>
              <w:t xml:space="preserve"> </w:t>
            </w:r>
            <w:proofErr w:type="spellStart"/>
            <w:r w:rsidRPr="001B1C1C">
              <w:rPr>
                <w:rFonts w:asciiTheme="majorHAnsi" w:hAnsiTheme="majorHAnsi" w:cstheme="minorHAnsi"/>
                <w:i/>
              </w:rPr>
              <w:t>decizia</w:t>
            </w:r>
            <w:proofErr w:type="spellEnd"/>
            <w:r w:rsidRPr="001B1C1C">
              <w:rPr>
                <w:rFonts w:asciiTheme="majorHAnsi" w:hAnsiTheme="majorHAnsi" w:cstheme="minorHAnsi"/>
                <w:i/>
              </w:rPr>
              <w:t xml:space="preserve"> nu a </w:t>
            </w:r>
            <w:proofErr w:type="spellStart"/>
            <w:r w:rsidRPr="001B1C1C">
              <w:rPr>
                <w:rFonts w:asciiTheme="majorHAnsi" w:hAnsiTheme="majorHAnsi" w:cstheme="minorHAnsi"/>
                <w:i/>
              </w:rPr>
              <w:t>fost</w:t>
            </w:r>
            <w:proofErr w:type="spellEnd"/>
            <w:r w:rsidRPr="001B1C1C">
              <w:rPr>
                <w:rFonts w:asciiTheme="majorHAnsi" w:hAnsiTheme="majorHAnsi" w:cstheme="minorHAnsi"/>
                <w:i/>
              </w:rPr>
              <w:t xml:space="preserve"> </w:t>
            </w:r>
            <w:proofErr w:type="spellStart"/>
            <w:r w:rsidRPr="001B1C1C">
              <w:rPr>
                <w:rFonts w:asciiTheme="majorHAnsi" w:hAnsiTheme="majorHAnsi" w:cstheme="minorHAnsi"/>
                <w:i/>
              </w:rPr>
              <w:t>contestată</w:t>
            </w:r>
            <w:proofErr w:type="spellEnd"/>
            <w:r w:rsidRPr="001B1C1C">
              <w:rPr>
                <w:rFonts w:asciiTheme="majorHAnsi" w:hAnsiTheme="majorHAnsi" w:cstheme="minorHAnsi"/>
                <w:i/>
              </w:rPr>
              <w:t xml:space="preserve"> </w:t>
            </w:r>
            <w:proofErr w:type="spellStart"/>
            <w:r w:rsidRPr="001B1C1C">
              <w:rPr>
                <w:rFonts w:asciiTheme="majorHAnsi" w:hAnsiTheme="majorHAnsi" w:cstheme="minorHAnsi"/>
                <w:i/>
              </w:rPr>
              <w:t>în</w:t>
            </w:r>
            <w:proofErr w:type="spellEnd"/>
            <w:r w:rsidRPr="001B1C1C">
              <w:rPr>
                <w:rFonts w:asciiTheme="majorHAnsi" w:hAnsiTheme="majorHAnsi" w:cstheme="minorHAnsi"/>
                <w:i/>
              </w:rPr>
              <w:t xml:space="preserve"> </w:t>
            </w:r>
            <w:proofErr w:type="spellStart"/>
            <w:r w:rsidRPr="001B1C1C">
              <w:rPr>
                <w:rFonts w:asciiTheme="majorHAnsi" w:hAnsiTheme="majorHAnsi" w:cstheme="minorHAnsi"/>
                <w:i/>
              </w:rPr>
              <w:t>judecată</w:t>
            </w:r>
            <w:proofErr w:type="spellEnd"/>
            <w:r w:rsidRPr="001B1C1C">
              <w:rPr>
                <w:rFonts w:asciiTheme="majorHAnsi" w:hAnsiTheme="majorHAnsi" w:cstheme="minorHAnsi"/>
                <w:i/>
              </w:rPr>
              <w:t>)”.</w:t>
            </w:r>
          </w:p>
          <w:p w:rsidR="00BC0D2F" w:rsidRPr="001B1C1C" w:rsidRDefault="00B015DE" w:rsidP="00A40C0B">
            <w:pPr>
              <w:keepNext/>
              <w:keepLines/>
              <w:widowControl w:val="0"/>
              <w:numPr>
                <w:ilvl w:val="0"/>
                <w:numId w:val="28"/>
              </w:numPr>
              <w:autoSpaceDE w:val="0"/>
              <w:autoSpaceDN w:val="0"/>
              <w:adjustRightInd w:val="0"/>
              <w:spacing w:before="120" w:after="120" w:line="240" w:lineRule="atLeast"/>
              <w:jc w:val="both"/>
              <w:outlineLvl w:val="2"/>
              <w:rPr>
                <w:rFonts w:asciiTheme="majorHAnsi" w:hAnsiTheme="majorHAnsi" w:cstheme="minorHAnsi"/>
                <w:lang w:val="ro-RO"/>
              </w:rPr>
            </w:pPr>
            <w:r w:rsidRPr="001B1C1C">
              <w:rPr>
                <w:rFonts w:asciiTheme="majorHAnsi" w:hAnsiTheme="majorHAnsi" w:cstheme="minorHAnsi"/>
                <w:lang w:val="ro-RO"/>
              </w:rPr>
              <w:t>la alin (3) al art.252 al Codului fiscal, după sintagma „dacă nu a fost executată benevol” se va completa cu sintagma “</w:t>
            </w:r>
            <w:r w:rsidRPr="001B1C1C">
              <w:rPr>
                <w:rFonts w:asciiTheme="majorHAnsi" w:hAnsiTheme="majorHAnsi" w:cstheme="minorHAnsi"/>
                <w:i/>
                <w:lang w:val="ro-RO"/>
              </w:rPr>
              <w:t>şi nu a fost contestată în modul stabilit.</w:t>
            </w:r>
            <w:r w:rsidRPr="001B1C1C">
              <w:rPr>
                <w:rFonts w:asciiTheme="majorHAnsi" w:hAnsiTheme="majorHAnsi" w:cstheme="minorHAnsi"/>
                <w:lang w:val="ro-RO"/>
              </w:rPr>
              <w:t>”</w:t>
            </w:r>
          </w:p>
          <w:p w:rsidR="00933B85" w:rsidRPr="001B1C1C" w:rsidRDefault="00B015DE" w:rsidP="00A40C0B">
            <w:pPr>
              <w:keepNext/>
              <w:keepLines/>
              <w:widowControl w:val="0"/>
              <w:numPr>
                <w:ilvl w:val="0"/>
                <w:numId w:val="28"/>
              </w:numPr>
              <w:tabs>
                <w:tab w:val="center" w:pos="4536"/>
                <w:tab w:val="right" w:pos="9866"/>
              </w:tabs>
              <w:autoSpaceDE w:val="0"/>
              <w:autoSpaceDN w:val="0"/>
              <w:adjustRightInd w:val="0"/>
              <w:spacing w:before="120" w:after="120" w:line="240" w:lineRule="atLeast"/>
              <w:jc w:val="both"/>
              <w:outlineLvl w:val="2"/>
              <w:rPr>
                <w:rFonts w:asciiTheme="majorHAnsi" w:hAnsiTheme="majorHAnsi" w:cstheme="minorHAnsi"/>
                <w:lang w:val="ro-RO"/>
              </w:rPr>
            </w:pPr>
            <w:r w:rsidRPr="001B1C1C">
              <w:rPr>
                <w:rFonts w:asciiTheme="majorHAnsi" w:hAnsiTheme="majorHAnsi" w:cstheme="minorHAnsi"/>
                <w:lang w:val="ro-RO"/>
              </w:rPr>
              <w:t>La alin (1) lit d) al art. 271 al Codului fiscal sintagma „suspendarea executării deciziei contestate” se exclude.</w:t>
            </w:r>
          </w:p>
          <w:p w:rsidR="00B62866" w:rsidRPr="001B1C1C" w:rsidRDefault="00B015DE" w:rsidP="00A40C0B">
            <w:pPr>
              <w:keepNext/>
              <w:keepLines/>
              <w:widowControl w:val="0"/>
              <w:numPr>
                <w:ilvl w:val="0"/>
                <w:numId w:val="28"/>
              </w:numPr>
              <w:autoSpaceDE w:val="0"/>
              <w:autoSpaceDN w:val="0"/>
              <w:adjustRightInd w:val="0"/>
              <w:spacing w:before="120" w:after="120" w:line="240" w:lineRule="atLeast"/>
              <w:jc w:val="both"/>
              <w:outlineLvl w:val="2"/>
              <w:rPr>
                <w:rFonts w:asciiTheme="majorHAnsi" w:hAnsiTheme="majorHAnsi" w:cstheme="minorHAnsi"/>
                <w:i/>
                <w:sz w:val="18"/>
                <w:lang w:val="ro-RO"/>
              </w:rPr>
            </w:pPr>
            <w:r w:rsidRPr="001B1C1C">
              <w:rPr>
                <w:rFonts w:asciiTheme="majorHAnsi" w:hAnsiTheme="majorHAnsi" w:cstheme="minorHAnsi"/>
                <w:lang w:val="ro-RO"/>
              </w:rPr>
              <w:t xml:space="preserve">alin (1) al art.272 al Codului fiscal se expune în următoarea redacţie: </w:t>
            </w:r>
            <w:r w:rsidRPr="001B1C1C">
              <w:rPr>
                <w:rFonts w:asciiTheme="majorHAnsi" w:hAnsiTheme="majorHAnsi" w:cstheme="minorHAnsi"/>
                <w:i/>
                <w:lang w:val="ro-RO"/>
              </w:rPr>
              <w:t>„(1) Copia de pe decizia emisă de Inspectoratul Fiscal Principal de Stat pe marginea contestaţiei se remite spre executare inspectoratului fiscal de stat teritorial la expirarea termenului de atacare a acesteia în instanţa de judecată”.</w:t>
            </w:r>
          </w:p>
          <w:p w:rsidR="00933B85" w:rsidRPr="001B1C1C" w:rsidRDefault="00B015DE" w:rsidP="00A40C0B">
            <w:pPr>
              <w:keepNext/>
              <w:keepLines/>
              <w:widowControl w:val="0"/>
              <w:numPr>
                <w:ilvl w:val="0"/>
                <w:numId w:val="28"/>
              </w:numPr>
              <w:autoSpaceDE w:val="0"/>
              <w:autoSpaceDN w:val="0"/>
              <w:adjustRightInd w:val="0"/>
              <w:spacing w:before="120" w:after="120" w:line="240" w:lineRule="atLeast"/>
              <w:jc w:val="both"/>
              <w:outlineLvl w:val="2"/>
              <w:rPr>
                <w:rFonts w:asciiTheme="majorHAnsi" w:hAnsiTheme="majorHAnsi" w:cstheme="minorHAnsi"/>
                <w:i/>
                <w:lang w:val="ro-RO"/>
              </w:rPr>
            </w:pPr>
            <w:r w:rsidRPr="001B1C1C">
              <w:rPr>
                <w:rFonts w:asciiTheme="majorHAnsi" w:hAnsiTheme="majorHAnsi" w:cstheme="minorHAnsi"/>
                <w:lang w:val="ro-RO"/>
              </w:rPr>
              <w:t>alin (1) al art.272 al Codului fiscal se exclude.</w:t>
            </w:r>
          </w:p>
          <w:p w:rsidR="00B62866" w:rsidRPr="001B1C1C" w:rsidRDefault="00B015DE" w:rsidP="00A40C0B">
            <w:pPr>
              <w:pStyle w:val="a2"/>
              <w:spacing w:before="120" w:after="120" w:line="240" w:lineRule="atLeast"/>
              <w:ind w:left="720"/>
              <w:rPr>
                <w:rFonts w:asciiTheme="majorHAnsi" w:hAnsiTheme="majorHAnsi" w:cstheme="minorHAnsi"/>
                <w:lang w:val="ro-RO"/>
              </w:rPr>
            </w:pPr>
            <w:r w:rsidRPr="001B1C1C">
              <w:rPr>
                <w:rFonts w:asciiTheme="majorHAnsi" w:hAnsiTheme="majorHAnsi" w:cstheme="minorHAnsi"/>
                <w:lang w:val="ro-RO"/>
              </w:rPr>
              <w:t>SAU</w:t>
            </w:r>
          </w:p>
          <w:p w:rsidR="003845E7" w:rsidRPr="001B1C1C" w:rsidRDefault="00B015DE" w:rsidP="00A40C0B">
            <w:pPr>
              <w:pStyle w:val="a2"/>
              <w:spacing w:before="120" w:after="120" w:line="240" w:lineRule="atLeast"/>
              <w:ind w:left="720"/>
              <w:rPr>
                <w:rFonts w:asciiTheme="majorHAnsi" w:hAnsiTheme="majorHAnsi" w:cstheme="minorHAnsi"/>
                <w:lang w:val="ro-RO"/>
              </w:rPr>
            </w:pPr>
            <w:r w:rsidRPr="001B1C1C">
              <w:rPr>
                <w:rFonts w:asciiTheme="majorHAnsi" w:hAnsiTheme="majorHAnsi" w:cstheme="minorHAnsi"/>
                <w:u w:val="single"/>
                <w:lang w:val="ro-RO"/>
              </w:rPr>
              <w:t>Opţiunea 2</w:t>
            </w:r>
            <w:r w:rsidRPr="001B1C1C">
              <w:rPr>
                <w:rFonts w:asciiTheme="majorHAnsi" w:hAnsiTheme="majorHAnsi" w:cstheme="minorHAnsi"/>
                <w:lang w:val="ro-RO"/>
              </w:rPr>
              <w:t>:</w:t>
            </w:r>
          </w:p>
          <w:p w:rsidR="00424BB6" w:rsidRPr="001B1C1C" w:rsidRDefault="00B015DE" w:rsidP="00A40C0B">
            <w:pPr>
              <w:keepNext/>
              <w:keepLines/>
              <w:widowControl w:val="0"/>
              <w:numPr>
                <w:ilvl w:val="0"/>
                <w:numId w:val="28"/>
              </w:numPr>
              <w:autoSpaceDE w:val="0"/>
              <w:autoSpaceDN w:val="0"/>
              <w:adjustRightInd w:val="0"/>
              <w:spacing w:before="120" w:after="120" w:line="240" w:lineRule="atLeast"/>
              <w:jc w:val="both"/>
              <w:outlineLvl w:val="2"/>
              <w:rPr>
                <w:rFonts w:asciiTheme="majorHAnsi" w:hAnsiTheme="majorHAnsi" w:cstheme="minorHAnsi"/>
                <w:lang w:val="ro-RO"/>
              </w:rPr>
            </w:pPr>
            <w:r w:rsidRPr="001B1C1C">
              <w:rPr>
                <w:rFonts w:asciiTheme="majorHAnsi" w:hAnsiTheme="majorHAnsi" w:cstheme="minorHAnsi"/>
                <w:lang w:val="ro-RO"/>
              </w:rPr>
              <w:t>la art. 274 se introduce un alineat nou cu următorul conţinut: „</w:t>
            </w:r>
            <w:r w:rsidRPr="001B1C1C">
              <w:rPr>
                <w:rFonts w:asciiTheme="majorHAnsi" w:hAnsiTheme="majorHAnsi" w:cstheme="minorHAnsi"/>
                <w:i/>
                <w:lang w:val="ro-RO"/>
              </w:rPr>
              <w:t>2) Dacă decizia organului fiscal este anulată de către instanţa de judecată printr-o hotărîre irevocabilă, contribuabilului i se restituie toate sumele încasate în baza deciziei anulate, precum şi i se plăteşte o dobîndă, calculată în funcţie de rata de bază (rotunjită pînă la următorul procent întreg), stabilită de Banca Naţională a Moldovei în luna noiembrie a anului precedent, aplicată la operaţiunile de politică monetară pe termen scurt, pentru perioada cuprinsă între data achitării sau încasării sumelor menţionate şi data restituirii lor de către Trezoreria de Stat. În acest caz contribuabilul nu este lipsit de dreptul de a cere, conform legislaţiei în vigoare, repararea prejudiciului cauzat prin decizia anulată în partea neacoperită prin dobînda menţionată”</w:t>
            </w:r>
            <w:r w:rsidRPr="001B1C1C">
              <w:rPr>
                <w:rFonts w:asciiTheme="majorHAnsi" w:hAnsiTheme="majorHAnsi" w:cstheme="minorHAnsi"/>
                <w:lang w:val="ro-RO"/>
              </w:rPr>
              <w:t>.</w:t>
            </w:r>
          </w:p>
        </w:tc>
      </w:tr>
      <w:tr w:rsidR="00504A5A" w:rsidRPr="001B1C1C" w:rsidTr="00E54BBD">
        <w:tc>
          <w:tcPr>
            <w:tcW w:w="360" w:type="dxa"/>
          </w:tcPr>
          <w:p w:rsidR="00504A5A" w:rsidRPr="001B1C1C" w:rsidRDefault="001B1C1C" w:rsidP="00A40C0B">
            <w:pPr>
              <w:tabs>
                <w:tab w:val="left" w:pos="1080"/>
              </w:tabs>
              <w:spacing w:before="120" w:after="120"/>
              <w:rPr>
                <w:rFonts w:asciiTheme="majorHAnsi" w:hAnsiTheme="majorHAnsi" w:cstheme="minorHAnsi"/>
                <w:lang w:val="ro-RO"/>
              </w:rPr>
            </w:pPr>
            <w:r>
              <w:rPr>
                <w:rFonts w:asciiTheme="majorHAnsi" w:hAnsiTheme="majorHAnsi" w:cstheme="minorHAnsi"/>
                <w:lang w:val="ro-RO"/>
              </w:rPr>
              <w:lastRenderedPageBreak/>
              <w:t>3</w:t>
            </w:r>
          </w:p>
        </w:tc>
        <w:tc>
          <w:tcPr>
            <w:tcW w:w="2340" w:type="dxa"/>
          </w:tcPr>
          <w:p w:rsidR="00504A5A" w:rsidRPr="001B1C1C" w:rsidRDefault="00B015DE" w:rsidP="00A40C0B">
            <w:pPr>
              <w:spacing w:before="120" w:after="120" w:line="240" w:lineRule="atLeast"/>
              <w:rPr>
                <w:rFonts w:asciiTheme="majorHAnsi" w:eastAsia="Times New Roman" w:hAnsiTheme="majorHAnsi" w:cstheme="minorHAnsi"/>
                <w:b/>
                <w:color w:val="000000"/>
                <w:lang w:val="ro-RO"/>
              </w:rPr>
            </w:pPr>
            <w:r w:rsidRPr="001B1C1C">
              <w:rPr>
                <w:rFonts w:asciiTheme="majorHAnsi" w:eastAsia="Times New Roman" w:hAnsiTheme="majorHAnsi" w:cstheme="minorHAnsi"/>
                <w:b/>
                <w:color w:val="000000"/>
                <w:lang w:val="ro-RO"/>
              </w:rPr>
              <w:t>Prezumţia nevinovăţiei şi răspunderea solidară a contribuabilului şi a Serviciului Fiscal de Stat</w:t>
            </w:r>
          </w:p>
          <w:p w:rsidR="00504A5A" w:rsidRPr="001B1C1C" w:rsidRDefault="00B015DE" w:rsidP="00A40C0B">
            <w:pPr>
              <w:spacing w:before="120" w:after="120" w:line="240" w:lineRule="atLeast"/>
              <w:rPr>
                <w:rFonts w:asciiTheme="majorHAnsi" w:eastAsia="Times New Roman" w:hAnsiTheme="majorHAnsi" w:cstheme="minorHAnsi"/>
                <w:b/>
                <w:color w:val="000000"/>
                <w:lang w:val="ro-RO"/>
              </w:rPr>
            </w:pPr>
            <w:r w:rsidRPr="001B1C1C">
              <w:rPr>
                <w:rFonts w:asciiTheme="majorHAnsi" w:eastAsia="Times New Roman" w:hAnsiTheme="majorHAnsi" w:cstheme="minorHAnsi"/>
                <w:b/>
                <w:color w:val="000000"/>
                <w:lang w:val="ro-RO"/>
              </w:rPr>
              <w:t>Transparenţa controalelor fiscale</w:t>
            </w:r>
          </w:p>
        </w:tc>
        <w:tc>
          <w:tcPr>
            <w:tcW w:w="8820" w:type="dxa"/>
          </w:tcPr>
          <w:p w:rsidR="00A40C0B" w:rsidRPr="001B1C1C" w:rsidRDefault="00B015DE" w:rsidP="00A40C0B">
            <w:pPr>
              <w:pStyle w:val="af6"/>
              <w:spacing w:before="120" w:after="120" w:line="240" w:lineRule="atLeast"/>
              <w:ind w:left="0"/>
              <w:contextualSpacing w:val="0"/>
              <w:rPr>
                <w:rFonts w:asciiTheme="majorHAnsi" w:hAnsiTheme="majorHAnsi" w:cstheme="minorHAnsi"/>
                <w:u w:val="single"/>
                <w:lang w:val="ro-RO"/>
              </w:rPr>
            </w:pPr>
            <w:r w:rsidRPr="001B1C1C">
              <w:rPr>
                <w:rFonts w:asciiTheme="majorHAnsi" w:hAnsiTheme="majorHAnsi" w:cstheme="minorHAnsi"/>
                <w:lang w:val="ro-RO"/>
              </w:rPr>
              <w:t xml:space="preserve">Deşi Codul fiscal stipulează că (i) toate îndoielile apărute la aplicarea legislaţiei fiscale se vor interpreta în favoarea contribuabilului, cât şi (ii) normele aferente controalelor fiscale, </w:t>
            </w:r>
            <w:r w:rsidRPr="001B1C1C">
              <w:rPr>
                <w:rFonts w:asciiTheme="majorHAnsi" w:hAnsiTheme="majorHAnsi" w:cstheme="minorHAnsi"/>
                <w:u w:val="single"/>
                <w:lang w:val="ro-RO"/>
              </w:rPr>
              <w:t>organele fiscale nu aplică în practica conceptul de prezumţie a nevinovăţiei.</w:t>
            </w:r>
          </w:p>
          <w:p w:rsidR="005D338E" w:rsidRPr="001B1C1C" w:rsidRDefault="00B015DE" w:rsidP="0081581E">
            <w:pPr>
              <w:pStyle w:val="af6"/>
              <w:spacing w:before="120" w:after="120" w:line="240" w:lineRule="atLeast"/>
              <w:ind w:left="0"/>
              <w:contextualSpacing w:val="0"/>
              <w:rPr>
                <w:rFonts w:asciiTheme="majorHAnsi" w:hAnsiTheme="majorHAnsi" w:cstheme="minorHAnsi"/>
                <w:lang w:val="ro-RO"/>
              </w:rPr>
            </w:pPr>
            <w:r w:rsidRPr="001B1C1C">
              <w:rPr>
                <w:rFonts w:asciiTheme="majorHAnsi" w:hAnsiTheme="majorHAnsi" w:cstheme="minorHAnsi"/>
                <w:lang w:val="ro-RO"/>
              </w:rPr>
              <w:t>Actualmente cadrul fiscal este d</w:t>
            </w:r>
            <w:r w:rsidR="0081581E">
              <w:rPr>
                <w:rFonts w:asciiTheme="majorHAnsi" w:hAnsiTheme="majorHAnsi" w:cstheme="minorHAnsi"/>
                <w:lang w:val="ro-RO"/>
              </w:rPr>
              <w:t>estul de vag în ceea ce ţine de a</w:t>
            </w:r>
            <w:r w:rsidRPr="001B1C1C">
              <w:rPr>
                <w:rFonts w:asciiTheme="majorHAnsi" w:hAnsiTheme="majorHAnsi" w:cstheme="minorHAnsi"/>
                <w:lang w:val="ro-RO"/>
              </w:rPr>
              <w:t xml:space="preserve">nunţarea unui control fiscal – aceasta ar trebui de documentat prin Citaţie (scris </w:t>
            </w:r>
            <w:r w:rsidR="009D7B16" w:rsidRPr="001B1C1C">
              <w:rPr>
                <w:rFonts w:asciiTheme="majorHAnsi" w:hAnsiTheme="majorHAnsi" w:cstheme="minorHAnsi"/>
                <w:lang w:val="ro-RO"/>
              </w:rPr>
              <w:t>ş</w:t>
            </w:r>
            <w:r w:rsidRPr="001B1C1C">
              <w:rPr>
                <w:rFonts w:asciiTheme="majorHAnsi" w:hAnsiTheme="majorHAnsi" w:cstheme="minorHAnsi"/>
                <w:lang w:val="ro-RO"/>
              </w:rPr>
              <w:t>i nu verbal)</w:t>
            </w:r>
            <w:r w:rsidR="0081581E">
              <w:rPr>
                <w:rFonts w:asciiTheme="majorHAnsi" w:hAnsiTheme="majorHAnsi" w:cstheme="minorHAnsi"/>
                <w:lang w:val="ro-RO"/>
              </w:rPr>
              <w:t>.</w:t>
            </w:r>
          </w:p>
          <w:p w:rsidR="007C1260" w:rsidRPr="001B1C1C" w:rsidRDefault="0081581E" w:rsidP="0081581E">
            <w:pPr>
              <w:spacing w:before="120" w:after="120"/>
              <w:rPr>
                <w:rFonts w:asciiTheme="majorHAnsi" w:hAnsiTheme="majorHAnsi" w:cstheme="minorHAnsi"/>
                <w:lang w:val="ro-RO"/>
              </w:rPr>
            </w:pPr>
            <w:r>
              <w:rPr>
                <w:rFonts w:asciiTheme="majorHAnsi" w:hAnsiTheme="majorHAnsi" w:cstheme="minorHAnsi"/>
                <w:lang w:val="ro-RO"/>
              </w:rPr>
              <w:t>De asemenea, propunem e</w:t>
            </w:r>
            <w:r w:rsidR="00B015DE" w:rsidRPr="001B1C1C">
              <w:rPr>
                <w:rFonts w:asciiTheme="majorHAnsi" w:hAnsiTheme="majorHAnsi" w:cstheme="minorHAnsi"/>
                <w:lang w:val="ro-RO"/>
              </w:rPr>
              <w:t>liminarea eventualului conflict de interes la examinarea dezacordului şi a contestaţiei şi asigurarea independenţei funcţionarilor Serviciului Fiscal de Stat implicaţi în examinarea acestora</w:t>
            </w:r>
            <w:r>
              <w:rPr>
                <w:rFonts w:asciiTheme="majorHAnsi" w:hAnsiTheme="majorHAnsi" w:cstheme="minorHAnsi"/>
                <w:lang w:val="ro-RO"/>
              </w:rPr>
              <w:t xml:space="preserve"> şi adoptarea deciziilor pe marginea controlului efectuat şi a contestaţiei depuse.</w:t>
            </w:r>
          </w:p>
        </w:tc>
      </w:tr>
      <w:tr w:rsidR="00CE45E2" w:rsidRPr="003F4041" w:rsidTr="00E54BBD">
        <w:tc>
          <w:tcPr>
            <w:tcW w:w="360" w:type="dxa"/>
          </w:tcPr>
          <w:p w:rsidR="00CE45E2" w:rsidRPr="001B1C1C" w:rsidRDefault="008A0186" w:rsidP="00A40C0B">
            <w:pPr>
              <w:tabs>
                <w:tab w:val="left" w:pos="1080"/>
              </w:tabs>
              <w:spacing w:before="120" w:after="120"/>
              <w:rPr>
                <w:rFonts w:asciiTheme="majorHAnsi" w:hAnsiTheme="majorHAnsi" w:cstheme="minorHAnsi"/>
                <w:lang w:val="ro-RO"/>
              </w:rPr>
            </w:pPr>
            <w:r>
              <w:rPr>
                <w:rFonts w:asciiTheme="majorHAnsi" w:hAnsiTheme="majorHAnsi" w:cstheme="minorHAnsi"/>
                <w:lang w:val="ro-RO"/>
              </w:rPr>
              <w:t>4</w:t>
            </w:r>
          </w:p>
        </w:tc>
        <w:tc>
          <w:tcPr>
            <w:tcW w:w="2340" w:type="dxa"/>
          </w:tcPr>
          <w:p w:rsidR="00BD5762" w:rsidRPr="001B1C1C" w:rsidRDefault="00B015DE" w:rsidP="00A40C0B">
            <w:pPr>
              <w:tabs>
                <w:tab w:val="left" w:pos="1080"/>
              </w:tabs>
              <w:spacing w:before="120" w:after="120" w:line="240" w:lineRule="atLeast"/>
              <w:rPr>
                <w:rFonts w:asciiTheme="majorHAnsi" w:hAnsiTheme="majorHAnsi" w:cstheme="minorHAnsi"/>
                <w:lang w:val="ro-RO"/>
              </w:rPr>
            </w:pPr>
            <w:r w:rsidRPr="001B1C1C">
              <w:rPr>
                <w:rFonts w:asciiTheme="majorHAnsi" w:hAnsiTheme="majorHAnsi" w:cstheme="minorHAnsi"/>
                <w:lang w:val="ro-RO"/>
              </w:rPr>
              <w:t>Art. 260 alin. (4) al CF</w:t>
            </w:r>
          </w:p>
        </w:tc>
        <w:tc>
          <w:tcPr>
            <w:tcW w:w="8820" w:type="dxa"/>
          </w:tcPr>
          <w:p w:rsidR="000237F0" w:rsidRPr="001B1C1C" w:rsidRDefault="00B015DE" w:rsidP="00A40C0B">
            <w:pPr>
              <w:spacing w:before="120" w:after="120" w:line="240" w:lineRule="atLeast"/>
              <w:jc w:val="both"/>
              <w:rPr>
                <w:rFonts w:asciiTheme="majorHAnsi" w:hAnsiTheme="majorHAnsi" w:cstheme="minorHAnsi"/>
                <w:lang w:val="ro-RO"/>
              </w:rPr>
            </w:pPr>
            <w:r w:rsidRPr="001B1C1C">
              <w:rPr>
                <w:rFonts w:asciiTheme="majorHAnsi" w:hAnsiTheme="majorHAnsi" w:cstheme="minorHAnsi"/>
                <w:lang w:val="ro-RO"/>
              </w:rPr>
              <w:t>Sugerăm completarea alin. (4) din art. 260 al Codului fiscal cu textul: „Prevederile prezentului alineat nu sunt aplicabile refacturărilor efectuate de către subiectul impozabil angajaţilor săi”.</w:t>
            </w:r>
          </w:p>
          <w:p w:rsidR="000237F0" w:rsidRPr="001B1C1C" w:rsidRDefault="00B015DE" w:rsidP="00A40C0B">
            <w:pPr>
              <w:spacing w:before="120" w:after="120" w:line="240" w:lineRule="atLeast"/>
              <w:jc w:val="both"/>
              <w:rPr>
                <w:rFonts w:asciiTheme="majorHAnsi" w:hAnsiTheme="majorHAnsi" w:cstheme="minorHAnsi"/>
                <w:lang w:val="ro-RO"/>
              </w:rPr>
            </w:pPr>
            <w:r w:rsidRPr="001B1C1C">
              <w:rPr>
                <w:rFonts w:asciiTheme="majorHAnsi" w:hAnsiTheme="majorHAnsi" w:cstheme="minorHAnsi"/>
                <w:lang w:val="ro-RO"/>
              </w:rPr>
              <w:t>Potrivit amendamentelor operate prin Legea 267 din 23.12.2011, în condiţiile anului 2012 neprezentarea facturii fiscale în termenele prevăzute de art.117 şi 117</w:t>
            </w:r>
            <w:r w:rsidRPr="001B1C1C">
              <w:rPr>
                <w:rStyle w:val="aff0"/>
                <w:rFonts w:asciiTheme="majorHAnsi" w:hAnsiTheme="majorHAnsi" w:cstheme="minorHAnsi"/>
                <w:lang w:eastAsia="ro-RO"/>
              </w:rPr>
              <w:t>1</w:t>
            </w:r>
            <w:r w:rsidRPr="001B1C1C">
              <w:rPr>
                <w:rFonts w:asciiTheme="majorHAnsi" w:hAnsiTheme="majorHAnsi" w:cstheme="minorHAnsi"/>
                <w:lang w:val="ro-RO"/>
              </w:rPr>
              <w:t xml:space="preserve"> se sancţionează cu o amendă în mărime de 3600 lei pentru fiecare factură fiscală neprezentată, dar nu mai mult de 108000 lei pentru toate facturile fiscale neprezentate în termenele stabilite. </w:t>
            </w:r>
          </w:p>
          <w:p w:rsidR="00CE45E2" w:rsidRPr="001B1C1C" w:rsidRDefault="000469EB" w:rsidP="000469EB">
            <w:pPr>
              <w:spacing w:before="120" w:after="120" w:line="240" w:lineRule="atLeast"/>
              <w:jc w:val="both"/>
              <w:rPr>
                <w:rFonts w:asciiTheme="majorHAnsi" w:hAnsiTheme="majorHAnsi" w:cstheme="minorHAnsi"/>
                <w:lang w:val="ro-RO"/>
              </w:rPr>
            </w:pPr>
            <w:r>
              <w:rPr>
                <w:rFonts w:asciiTheme="majorHAnsi" w:hAnsiTheme="majorHAnsi" w:cstheme="minorHAnsi"/>
                <w:lang w:val="ro-RO"/>
              </w:rPr>
              <w:t>Deoarece, refacturarea costurilor către angajaţi nu se încadrează în noţiunea livrărilor impozabile pentru scopul de antreprenoriat, această normă generează costuri şi riscuri nejustificate pentru companiile care îşi declara în termen şi corect oblgaţiunile cu impozite însă rămîn a fi expuse normelor ce lasă loc de interpretare şi abuz în cadrul verificarilor la aceste entităţi.</w:t>
            </w:r>
          </w:p>
        </w:tc>
      </w:tr>
      <w:tr w:rsidR="008A0186" w:rsidRPr="008A0186" w:rsidTr="00E54BBD">
        <w:tc>
          <w:tcPr>
            <w:tcW w:w="360" w:type="dxa"/>
          </w:tcPr>
          <w:p w:rsidR="008A0186" w:rsidRPr="001B1C1C" w:rsidRDefault="008A0186" w:rsidP="00A40C0B">
            <w:pPr>
              <w:tabs>
                <w:tab w:val="left" w:pos="1080"/>
              </w:tabs>
              <w:spacing w:before="120" w:after="120"/>
              <w:rPr>
                <w:rFonts w:asciiTheme="majorHAnsi" w:hAnsiTheme="majorHAnsi" w:cstheme="minorHAnsi"/>
                <w:lang w:val="ro-RO"/>
              </w:rPr>
            </w:pPr>
            <w:r>
              <w:rPr>
                <w:rFonts w:asciiTheme="majorHAnsi" w:hAnsiTheme="majorHAnsi" w:cstheme="minorHAnsi"/>
                <w:lang w:val="ro-RO"/>
              </w:rPr>
              <w:t>5</w:t>
            </w:r>
          </w:p>
        </w:tc>
        <w:tc>
          <w:tcPr>
            <w:tcW w:w="2340" w:type="dxa"/>
          </w:tcPr>
          <w:p w:rsidR="008A0186" w:rsidRPr="001B1C1C" w:rsidRDefault="008A0186" w:rsidP="00A40C0B">
            <w:pPr>
              <w:tabs>
                <w:tab w:val="left" w:pos="1080"/>
              </w:tabs>
              <w:spacing w:before="120" w:after="120"/>
              <w:rPr>
                <w:rFonts w:asciiTheme="majorHAnsi" w:hAnsiTheme="majorHAnsi" w:cstheme="minorHAnsi"/>
                <w:lang w:val="ro-RO"/>
              </w:rPr>
            </w:pPr>
            <w:r>
              <w:rPr>
                <w:rFonts w:asciiTheme="majorHAnsi" w:hAnsiTheme="majorHAnsi" w:cstheme="minorHAnsi"/>
                <w:bCs/>
                <w:spacing w:val="-1"/>
                <w:lang w:val="ro-RO"/>
              </w:rPr>
              <w:t>A</w:t>
            </w:r>
            <w:r w:rsidRPr="002D3B5E">
              <w:rPr>
                <w:rFonts w:asciiTheme="majorHAnsi" w:hAnsiTheme="majorHAnsi" w:cstheme="minorHAnsi"/>
                <w:bCs/>
                <w:spacing w:val="-1"/>
                <w:lang w:val="ro-RO"/>
              </w:rPr>
              <w:t>rt. 234</w:t>
            </w:r>
            <w:r>
              <w:rPr>
                <w:rFonts w:asciiTheme="majorHAnsi" w:hAnsiTheme="majorHAnsi" w:cstheme="minorHAnsi"/>
                <w:bCs/>
                <w:spacing w:val="-1"/>
                <w:lang w:val="ro-RO"/>
              </w:rPr>
              <w:t xml:space="preserve"> alin. (5) al CF </w:t>
            </w:r>
          </w:p>
        </w:tc>
        <w:tc>
          <w:tcPr>
            <w:tcW w:w="8820" w:type="dxa"/>
          </w:tcPr>
          <w:p w:rsidR="008A0186" w:rsidRPr="001B1C1C" w:rsidRDefault="008A0186" w:rsidP="000469EB">
            <w:pPr>
              <w:spacing w:before="120" w:after="120"/>
              <w:jc w:val="both"/>
              <w:rPr>
                <w:rFonts w:asciiTheme="majorHAnsi" w:hAnsiTheme="majorHAnsi" w:cstheme="minorHAnsi"/>
                <w:lang w:val="ro-RO"/>
              </w:rPr>
            </w:pPr>
            <w:r>
              <w:rPr>
                <w:rFonts w:asciiTheme="majorHAnsi" w:hAnsiTheme="majorHAnsi" w:cstheme="minorHAnsi"/>
                <w:lang w:val="ro-RO"/>
              </w:rPr>
              <w:t xml:space="preserve">Propunem introducerea sintagmei </w:t>
            </w:r>
            <w:r w:rsidRPr="002D3B5E">
              <w:rPr>
                <w:rFonts w:asciiTheme="majorHAnsi" w:hAnsiTheme="majorHAnsi" w:cstheme="minorHAnsi"/>
                <w:bCs/>
                <w:spacing w:val="-1"/>
                <w:lang w:val="ro-RO"/>
              </w:rPr>
              <w:t>„nu au calculat sau”</w:t>
            </w:r>
            <w:r>
              <w:rPr>
                <w:rFonts w:asciiTheme="majorHAnsi" w:hAnsiTheme="majorHAnsi" w:cstheme="minorHAnsi"/>
                <w:bCs/>
                <w:spacing w:val="-1"/>
                <w:lang w:val="ro-RO"/>
              </w:rPr>
              <w:t xml:space="preserve"> după cuvintele </w:t>
            </w:r>
            <w:r w:rsidRPr="002D3B5E">
              <w:rPr>
                <w:rFonts w:asciiTheme="majorHAnsi" w:hAnsiTheme="majorHAnsi" w:cstheme="minorHAnsi"/>
                <w:bCs/>
                <w:spacing w:val="-1"/>
                <w:lang w:val="ro-RO"/>
              </w:rPr>
              <w:t>„Persoanele care”</w:t>
            </w:r>
            <w:r>
              <w:rPr>
                <w:rFonts w:asciiTheme="majorHAnsi" w:hAnsiTheme="majorHAnsi" w:cstheme="minorHAnsi"/>
                <w:bCs/>
                <w:spacing w:val="-1"/>
                <w:lang w:val="ro-RO"/>
              </w:rPr>
              <w:t>.</w:t>
            </w:r>
            <w:r w:rsidR="000469EB">
              <w:rPr>
                <w:rFonts w:asciiTheme="majorHAnsi" w:hAnsiTheme="majorHAnsi" w:cstheme="minorHAnsi"/>
                <w:bCs/>
                <w:spacing w:val="-1"/>
                <w:lang w:val="ro-RO"/>
              </w:rPr>
              <w:t xml:space="preserve"> Aceste modificări ar permite să facă mai clară sfera de aplicare a normei în practică.</w:t>
            </w:r>
          </w:p>
        </w:tc>
      </w:tr>
      <w:tr w:rsidR="008A0186" w:rsidRPr="003F4041" w:rsidTr="00E54BBD">
        <w:tc>
          <w:tcPr>
            <w:tcW w:w="360" w:type="dxa"/>
          </w:tcPr>
          <w:p w:rsidR="008A0186" w:rsidRPr="001B1C1C" w:rsidRDefault="008A0186" w:rsidP="00A40C0B">
            <w:pPr>
              <w:tabs>
                <w:tab w:val="left" w:pos="1080"/>
              </w:tabs>
              <w:spacing w:before="120" w:after="120"/>
              <w:rPr>
                <w:rFonts w:asciiTheme="majorHAnsi" w:hAnsiTheme="majorHAnsi" w:cstheme="minorHAnsi"/>
                <w:lang w:val="ro-RO"/>
              </w:rPr>
            </w:pPr>
            <w:r>
              <w:rPr>
                <w:rFonts w:asciiTheme="majorHAnsi" w:hAnsiTheme="majorHAnsi" w:cstheme="minorHAnsi"/>
                <w:lang w:val="ro-RO"/>
              </w:rPr>
              <w:t>6</w:t>
            </w:r>
          </w:p>
        </w:tc>
        <w:tc>
          <w:tcPr>
            <w:tcW w:w="2340" w:type="dxa"/>
          </w:tcPr>
          <w:p w:rsidR="008A0186" w:rsidRDefault="008A0186" w:rsidP="008A0186">
            <w:pPr>
              <w:tabs>
                <w:tab w:val="left" w:pos="1080"/>
              </w:tabs>
              <w:spacing w:before="120" w:after="120"/>
              <w:rPr>
                <w:rFonts w:asciiTheme="majorHAnsi" w:hAnsiTheme="majorHAnsi" w:cstheme="minorHAnsi"/>
                <w:bCs/>
                <w:spacing w:val="-1"/>
                <w:lang w:val="ro-RO"/>
              </w:rPr>
            </w:pPr>
            <w:r>
              <w:rPr>
                <w:rFonts w:asciiTheme="majorHAnsi" w:hAnsiTheme="majorHAnsi" w:cstheme="minorHAnsi"/>
                <w:bCs/>
                <w:spacing w:val="-1"/>
                <w:lang w:val="ro-RO"/>
              </w:rPr>
              <w:t>A</w:t>
            </w:r>
            <w:r w:rsidRPr="002D3B5E">
              <w:rPr>
                <w:rFonts w:asciiTheme="majorHAnsi" w:hAnsiTheme="majorHAnsi" w:cstheme="minorHAnsi"/>
                <w:bCs/>
                <w:spacing w:val="-1"/>
                <w:lang w:val="ro-RO"/>
              </w:rPr>
              <w:t xml:space="preserve">rt. 233 </w:t>
            </w:r>
            <w:r>
              <w:rPr>
                <w:rFonts w:asciiTheme="majorHAnsi" w:hAnsiTheme="majorHAnsi" w:cstheme="minorHAnsi"/>
                <w:bCs/>
                <w:spacing w:val="-1"/>
                <w:lang w:val="ro-RO"/>
              </w:rPr>
              <w:t xml:space="preserve">alin. (1) </w:t>
            </w:r>
            <w:r w:rsidRPr="002D3B5E">
              <w:rPr>
                <w:rFonts w:asciiTheme="majorHAnsi" w:hAnsiTheme="majorHAnsi" w:cstheme="minorHAnsi"/>
                <w:bCs/>
                <w:spacing w:val="-1"/>
                <w:lang w:val="ro-RO"/>
              </w:rPr>
              <w:t xml:space="preserve">al </w:t>
            </w:r>
            <w:r>
              <w:rPr>
                <w:rFonts w:asciiTheme="majorHAnsi" w:hAnsiTheme="majorHAnsi" w:cstheme="minorHAnsi"/>
                <w:bCs/>
                <w:spacing w:val="-1"/>
                <w:lang w:val="ro-RO"/>
              </w:rPr>
              <w:t>CF</w:t>
            </w:r>
          </w:p>
        </w:tc>
        <w:tc>
          <w:tcPr>
            <w:tcW w:w="8820" w:type="dxa"/>
          </w:tcPr>
          <w:p w:rsidR="008A0186" w:rsidRDefault="008A0186" w:rsidP="00A40C0B">
            <w:pPr>
              <w:spacing w:before="120" w:after="120"/>
              <w:jc w:val="both"/>
              <w:rPr>
                <w:rFonts w:asciiTheme="majorHAnsi" w:hAnsiTheme="majorHAnsi" w:cstheme="minorHAnsi"/>
                <w:lang w:val="ro-RO"/>
              </w:rPr>
            </w:pPr>
            <w:r>
              <w:rPr>
                <w:rFonts w:asciiTheme="majorHAnsi" w:hAnsiTheme="majorHAnsi" w:cstheme="minorHAnsi"/>
                <w:lang w:val="ro-RO"/>
              </w:rPr>
              <w:t>Sugerăm introducerea sintagmei</w:t>
            </w:r>
            <w:r w:rsidRPr="002D3B5E">
              <w:rPr>
                <w:rFonts w:asciiTheme="majorHAnsi" w:hAnsiTheme="majorHAnsi" w:cstheme="minorHAnsi"/>
                <w:bCs/>
                <w:spacing w:val="-1"/>
                <w:lang w:val="ro-RO"/>
              </w:rPr>
              <w:t>„cu excepţia situaţiilor cînd legea mai nouă prevede sancţiuni mai blînde”</w:t>
            </w:r>
            <w:r>
              <w:rPr>
                <w:rFonts w:asciiTheme="majorHAnsi" w:hAnsiTheme="majorHAnsi" w:cstheme="minorHAnsi"/>
                <w:bCs/>
                <w:spacing w:val="-1"/>
                <w:lang w:val="ro-RO"/>
              </w:rPr>
              <w:t xml:space="preserve"> după cuvintele </w:t>
            </w:r>
            <w:r w:rsidRPr="002D3B5E">
              <w:rPr>
                <w:rFonts w:asciiTheme="majorHAnsi" w:hAnsiTheme="majorHAnsi" w:cstheme="minorHAnsi"/>
                <w:bCs/>
                <w:spacing w:val="-1"/>
                <w:lang w:val="ro-RO"/>
              </w:rPr>
              <w:t>„locul săvîrşirii încălcării”</w:t>
            </w:r>
            <w:r>
              <w:rPr>
                <w:rFonts w:asciiTheme="majorHAnsi" w:hAnsiTheme="majorHAnsi" w:cstheme="minorHAnsi"/>
                <w:bCs/>
                <w:spacing w:val="-1"/>
                <w:lang w:val="ro-RO"/>
              </w:rPr>
              <w:t>.</w:t>
            </w:r>
          </w:p>
        </w:tc>
      </w:tr>
    </w:tbl>
    <w:p w:rsidR="003F7C31" w:rsidRDefault="003F7C31" w:rsidP="003F7C31">
      <w:pPr>
        <w:shd w:val="clear" w:color="auto" w:fill="FFFFFF"/>
        <w:spacing w:after="0" w:line="240" w:lineRule="auto"/>
        <w:rPr>
          <w:rFonts w:asciiTheme="majorHAnsi" w:hAnsiTheme="majorHAnsi" w:cstheme="minorHAnsi"/>
          <w:b/>
          <w:bCs/>
          <w:spacing w:val="-1"/>
          <w:lang w:val="ro-RO"/>
        </w:rPr>
      </w:pPr>
    </w:p>
    <w:p w:rsidR="008A0186" w:rsidRPr="001B1C1C" w:rsidRDefault="00CF583F" w:rsidP="008A0186">
      <w:pPr>
        <w:pStyle w:val="af6"/>
        <w:numPr>
          <w:ilvl w:val="0"/>
          <w:numId w:val="34"/>
        </w:numPr>
        <w:spacing w:after="0" w:line="240" w:lineRule="auto"/>
        <w:jc w:val="both"/>
        <w:rPr>
          <w:rFonts w:asciiTheme="majorHAnsi" w:hAnsiTheme="majorHAnsi" w:cstheme="minorHAnsi"/>
          <w:b/>
          <w:i/>
          <w:u w:val="single"/>
          <w:lang w:val="ro-MO"/>
        </w:rPr>
      </w:pPr>
      <w:r>
        <w:rPr>
          <w:rFonts w:asciiTheme="majorHAnsi" w:hAnsiTheme="majorHAnsi" w:cstheme="minorHAnsi"/>
          <w:b/>
          <w:i/>
          <w:u w:val="single"/>
          <w:lang w:val="ro-MO"/>
        </w:rPr>
        <w:t>Primele obligatorii de asistenţă medicală</w:t>
      </w:r>
    </w:p>
    <w:p w:rsidR="008A0186" w:rsidRPr="001B1C1C" w:rsidRDefault="008A0186" w:rsidP="008A0186">
      <w:pPr>
        <w:spacing w:after="0" w:line="240" w:lineRule="auto"/>
        <w:jc w:val="both"/>
        <w:rPr>
          <w:rFonts w:asciiTheme="majorHAnsi" w:hAnsiTheme="majorHAnsi" w:cstheme="minorHAnsi"/>
          <w:lang w:val="ro-RO"/>
        </w:rPr>
      </w:pPr>
    </w:p>
    <w:tbl>
      <w:tblPr>
        <w:tblStyle w:val="af5"/>
        <w:tblW w:w="11520" w:type="dxa"/>
        <w:tblInd w:w="-162" w:type="dxa"/>
        <w:tblLook w:val="04A0"/>
      </w:tblPr>
      <w:tblGrid>
        <w:gridCol w:w="439"/>
        <w:gridCol w:w="2331"/>
        <w:gridCol w:w="8750"/>
      </w:tblGrid>
      <w:tr w:rsidR="008A0186" w:rsidRPr="001B1C1C" w:rsidTr="001331E0">
        <w:tc>
          <w:tcPr>
            <w:tcW w:w="439" w:type="dxa"/>
          </w:tcPr>
          <w:p w:rsidR="008A0186" w:rsidRPr="001B1C1C" w:rsidRDefault="008A0186" w:rsidP="001331E0">
            <w:pPr>
              <w:tabs>
                <w:tab w:val="left" w:pos="1080"/>
              </w:tabs>
              <w:spacing w:before="120" w:after="120"/>
              <w:rPr>
                <w:rFonts w:asciiTheme="majorHAnsi" w:hAnsiTheme="majorHAnsi" w:cstheme="minorHAnsi"/>
                <w:lang w:val="ro-RO"/>
              </w:rPr>
            </w:pPr>
          </w:p>
        </w:tc>
        <w:tc>
          <w:tcPr>
            <w:tcW w:w="2331" w:type="dxa"/>
          </w:tcPr>
          <w:p w:rsidR="008A0186" w:rsidRPr="001B1C1C" w:rsidRDefault="008A0186" w:rsidP="001331E0">
            <w:pPr>
              <w:pStyle w:val="a2"/>
              <w:spacing w:before="120" w:after="120"/>
              <w:jc w:val="center"/>
              <w:rPr>
                <w:rFonts w:asciiTheme="majorHAnsi" w:hAnsiTheme="majorHAnsi" w:cstheme="minorHAnsi"/>
                <w:b/>
                <w:lang w:val="ro-RO"/>
              </w:rPr>
            </w:pPr>
            <w:r w:rsidRPr="001B1C1C">
              <w:rPr>
                <w:rFonts w:asciiTheme="majorHAnsi" w:hAnsiTheme="majorHAnsi" w:cstheme="minorHAnsi"/>
                <w:b/>
                <w:lang w:val="ro-RO"/>
              </w:rPr>
              <w:t>Concept</w:t>
            </w:r>
          </w:p>
        </w:tc>
        <w:tc>
          <w:tcPr>
            <w:tcW w:w="8750" w:type="dxa"/>
          </w:tcPr>
          <w:p w:rsidR="008A0186" w:rsidRPr="001B1C1C" w:rsidRDefault="008A0186" w:rsidP="001331E0">
            <w:pPr>
              <w:pStyle w:val="a2"/>
              <w:spacing w:before="120" w:after="120"/>
              <w:jc w:val="center"/>
              <w:rPr>
                <w:rFonts w:asciiTheme="majorHAnsi" w:hAnsiTheme="majorHAnsi" w:cstheme="minorHAnsi"/>
                <w:b/>
                <w:lang w:val="ro-RO"/>
              </w:rPr>
            </w:pPr>
            <w:r w:rsidRPr="001B1C1C">
              <w:rPr>
                <w:rFonts w:asciiTheme="majorHAnsi" w:hAnsiTheme="majorHAnsi" w:cstheme="minorHAnsi"/>
                <w:b/>
                <w:lang w:val="ro-RO"/>
              </w:rPr>
              <w:t>Comentarii / Recomandări</w:t>
            </w:r>
          </w:p>
        </w:tc>
      </w:tr>
      <w:tr w:rsidR="008A0186" w:rsidRPr="001B1C1C" w:rsidTr="001331E0">
        <w:tc>
          <w:tcPr>
            <w:tcW w:w="439" w:type="dxa"/>
          </w:tcPr>
          <w:p w:rsidR="008A0186" w:rsidRPr="007D0ED1" w:rsidRDefault="008A0186" w:rsidP="001331E0">
            <w:pPr>
              <w:tabs>
                <w:tab w:val="left" w:pos="1080"/>
              </w:tabs>
              <w:spacing w:before="120" w:after="120" w:line="240" w:lineRule="atLeast"/>
              <w:rPr>
                <w:rFonts w:asciiTheme="majorHAnsi" w:hAnsiTheme="majorHAnsi" w:cstheme="minorHAnsi"/>
                <w:lang w:val="ro-RO"/>
              </w:rPr>
            </w:pPr>
            <w:r w:rsidRPr="007D0ED1">
              <w:rPr>
                <w:rFonts w:asciiTheme="majorHAnsi" w:hAnsiTheme="majorHAnsi" w:cstheme="minorHAnsi"/>
                <w:lang w:val="ro-RO"/>
              </w:rPr>
              <w:t>1</w:t>
            </w:r>
          </w:p>
        </w:tc>
        <w:tc>
          <w:tcPr>
            <w:tcW w:w="2331" w:type="dxa"/>
          </w:tcPr>
          <w:p w:rsidR="008A0186" w:rsidRPr="007D0ED1" w:rsidRDefault="00CF583F" w:rsidP="00CF583F">
            <w:pPr>
              <w:tabs>
                <w:tab w:val="left" w:pos="1080"/>
              </w:tabs>
              <w:spacing w:before="120" w:after="120" w:line="240" w:lineRule="atLeast"/>
              <w:rPr>
                <w:rFonts w:asciiTheme="majorHAnsi" w:hAnsiTheme="majorHAnsi" w:cstheme="minorHAnsi"/>
                <w:i/>
                <w:lang w:val="ro-RO"/>
              </w:rPr>
            </w:pPr>
            <w:r>
              <w:rPr>
                <w:rFonts w:asciiTheme="majorHAnsi" w:hAnsiTheme="majorHAnsi" w:cstheme="minorHAnsi"/>
                <w:i/>
                <w:lang w:val="ro-RO"/>
              </w:rPr>
              <w:t xml:space="preserve">Plafonarea bazei de calcul a primelor de </w:t>
            </w:r>
            <w:r>
              <w:rPr>
                <w:rFonts w:asciiTheme="majorHAnsi" w:hAnsiTheme="majorHAnsi" w:cstheme="minorHAnsi"/>
                <w:i/>
                <w:lang w:val="ro-RO"/>
              </w:rPr>
              <w:lastRenderedPageBreak/>
              <w:t>asigurare medicală obligatorie datorate de angajator.</w:t>
            </w:r>
          </w:p>
        </w:tc>
        <w:tc>
          <w:tcPr>
            <w:tcW w:w="8750" w:type="dxa"/>
          </w:tcPr>
          <w:p w:rsidR="00CF583F" w:rsidRPr="007D0ED1" w:rsidRDefault="00CF583F" w:rsidP="00CF583F">
            <w:pPr>
              <w:pStyle w:val="a2"/>
              <w:spacing w:before="120" w:after="120" w:line="240" w:lineRule="atLeast"/>
              <w:rPr>
                <w:rFonts w:asciiTheme="majorHAnsi" w:hAnsiTheme="majorHAnsi" w:cstheme="minorHAnsi"/>
                <w:lang w:val="ro-RO"/>
              </w:rPr>
            </w:pPr>
            <w:r>
              <w:rPr>
                <w:rFonts w:asciiTheme="majorHAnsi" w:hAnsiTheme="majorHAnsi" w:cstheme="minorHAnsi"/>
                <w:lang w:val="ro-RO"/>
              </w:rPr>
              <w:lastRenderedPageBreak/>
              <w:t xml:space="preserve">Propunem ca baza anuală de calcul a primei de asigurare obligatorie de asistenţă medicală datorată de angajat să nu depăşească 3 salarii medii lunare prognozate pe economie înmulţită la </w:t>
            </w:r>
            <w:r>
              <w:rPr>
                <w:rFonts w:asciiTheme="majorHAnsi" w:hAnsiTheme="majorHAnsi" w:cstheme="minorHAnsi"/>
                <w:lang w:val="ro-RO"/>
              </w:rPr>
              <w:lastRenderedPageBreak/>
              <w:t>12.</w:t>
            </w:r>
          </w:p>
        </w:tc>
      </w:tr>
    </w:tbl>
    <w:p w:rsidR="003F4041" w:rsidRDefault="003F4041" w:rsidP="003F4041">
      <w:pPr>
        <w:spacing w:after="0" w:line="240" w:lineRule="auto"/>
        <w:jc w:val="both"/>
        <w:rPr>
          <w:rFonts w:asciiTheme="minorHAnsi" w:hAnsiTheme="minorHAnsi" w:cstheme="minorHAnsi"/>
          <w:highlight w:val="yellow"/>
          <w:lang w:val="ro-RO"/>
        </w:rPr>
      </w:pPr>
      <w:bookmarkStart w:id="0" w:name="_GoBack"/>
      <w:bookmarkEnd w:id="0"/>
    </w:p>
    <w:p w:rsidR="003F4041" w:rsidRDefault="003F4041" w:rsidP="003F4041">
      <w:pPr>
        <w:pStyle w:val="af6"/>
        <w:numPr>
          <w:ilvl w:val="0"/>
          <w:numId w:val="49"/>
        </w:numPr>
        <w:spacing w:after="0" w:line="240" w:lineRule="auto"/>
        <w:jc w:val="both"/>
        <w:rPr>
          <w:rFonts w:asciiTheme="minorHAnsi" w:hAnsiTheme="minorHAnsi" w:cstheme="minorHAnsi"/>
          <w:b/>
          <w:i/>
          <w:u w:val="single"/>
          <w:lang w:val="ro-MO"/>
        </w:rPr>
      </w:pPr>
      <w:r>
        <w:rPr>
          <w:rFonts w:asciiTheme="minorHAnsi" w:hAnsiTheme="minorHAnsi" w:cstheme="minorHAnsi"/>
          <w:b/>
          <w:i/>
          <w:u w:val="single"/>
          <w:lang w:val="ro-MO"/>
        </w:rPr>
        <w:t>Accize</w:t>
      </w:r>
    </w:p>
    <w:p w:rsidR="003F4041" w:rsidRDefault="003F4041" w:rsidP="003F4041">
      <w:pPr>
        <w:tabs>
          <w:tab w:val="left" w:pos="1080"/>
        </w:tabs>
        <w:spacing w:after="0" w:line="240" w:lineRule="auto"/>
        <w:rPr>
          <w:rFonts w:asciiTheme="minorHAnsi" w:eastAsia="Times New Roman" w:hAnsiTheme="minorHAnsi" w:cstheme="minorHAnsi"/>
          <w:b/>
          <w:i/>
          <w:u w:val="single"/>
          <w:lang w:val="ro-RO" w:eastAsia="ru-RU"/>
        </w:rPr>
      </w:pPr>
    </w:p>
    <w:tbl>
      <w:tblPr>
        <w:tblStyle w:val="af5"/>
        <w:tblW w:w="12319" w:type="dxa"/>
        <w:tblInd w:w="-1335" w:type="dxa"/>
        <w:tblLook w:val="04A0"/>
        <w:tblPrChange w:id="1" w:author="Mariana" w:date="2012-05-21T15:37:00Z">
          <w:tblPr>
            <w:tblStyle w:val="af5"/>
            <w:tblW w:w="11520" w:type="dxa"/>
            <w:tblInd w:w="-1335" w:type="dxa"/>
            <w:tblLook w:val="04A0"/>
          </w:tblPr>
        </w:tblPrChange>
      </w:tblPr>
      <w:tblGrid>
        <w:gridCol w:w="1159"/>
        <w:gridCol w:w="2340"/>
        <w:gridCol w:w="8820"/>
        <w:tblGridChange w:id="2">
          <w:tblGrid>
            <w:gridCol w:w="360"/>
            <w:gridCol w:w="2340"/>
            <w:gridCol w:w="8820"/>
          </w:tblGrid>
        </w:tblGridChange>
      </w:tblGrid>
      <w:tr w:rsidR="003F4041" w:rsidTr="003F4041">
        <w:trPr>
          <w:trHeight w:val="70"/>
          <w:trPrChange w:id="3" w:author="Mariana" w:date="2012-05-21T15:37:00Z">
            <w:trPr>
              <w:trHeight w:val="70"/>
            </w:trPr>
          </w:trPrChange>
        </w:trPr>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Change w:id="4" w:author="Mariana" w:date="2012-05-21T15:37:00Z">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cPrChange>
          </w:tcPr>
          <w:p w:rsidR="003F4041" w:rsidRDefault="003F4041" w:rsidP="00011AE8">
            <w:pPr>
              <w:tabs>
                <w:tab w:val="left" w:pos="1080"/>
              </w:tabs>
              <w:rPr>
                <w:rFonts w:asciiTheme="minorHAnsi" w:hAnsiTheme="minorHAnsi" w:cstheme="minorHAnsi"/>
                <w:lang w:val="ro-RO"/>
              </w:rPr>
            </w:pPr>
          </w:p>
          <w:p w:rsidR="003F4041" w:rsidRDefault="003F4041" w:rsidP="00011AE8">
            <w:pPr>
              <w:tabs>
                <w:tab w:val="left" w:pos="1080"/>
              </w:tabs>
              <w:rPr>
                <w:rFonts w:asciiTheme="minorHAnsi" w:hAnsiTheme="minorHAnsi" w:cstheme="minorHAnsi"/>
                <w:lang w:val="ro-RO"/>
              </w:rPr>
            </w:pPr>
            <w:r>
              <w:rPr>
                <w:rFonts w:asciiTheme="minorHAnsi" w:hAnsiTheme="minorHAnsi" w:cstheme="minorHAnsi"/>
                <w:lang w:val="ro-RO"/>
              </w:rPr>
              <w:t>1</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Change w:id="5" w:author="Mariana" w:date="2012-05-21T15:37:00Z">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cPrChange>
          </w:tcPr>
          <w:p w:rsidR="003F4041" w:rsidRDefault="003F4041" w:rsidP="00011AE8">
            <w:pPr>
              <w:tabs>
                <w:tab w:val="left" w:pos="1080"/>
              </w:tabs>
              <w:rPr>
                <w:rFonts w:asciiTheme="minorHAnsi" w:hAnsiTheme="minorHAnsi" w:cstheme="minorHAnsi"/>
                <w:lang w:val="ro-RO"/>
              </w:rPr>
            </w:pPr>
          </w:p>
          <w:p w:rsidR="003F4041" w:rsidRDefault="003F4041" w:rsidP="00011AE8">
            <w:pPr>
              <w:tabs>
                <w:tab w:val="left" w:pos="1080"/>
              </w:tabs>
              <w:rPr>
                <w:rFonts w:asciiTheme="minorHAnsi" w:hAnsiTheme="minorHAnsi" w:cstheme="minorHAnsi"/>
                <w:lang w:val="ro-RO"/>
              </w:rPr>
            </w:pPr>
            <w:r>
              <w:rPr>
                <w:rFonts w:asciiTheme="minorHAnsi" w:hAnsiTheme="minorHAnsi" w:cstheme="minorHAnsi"/>
                <w:lang w:val="ro-RO"/>
              </w:rPr>
              <w:t>Art.123 al CF</w:t>
            </w:r>
          </w:p>
          <w:p w:rsidR="003F4041" w:rsidRDefault="003F4041" w:rsidP="00011AE8">
            <w:pPr>
              <w:tabs>
                <w:tab w:val="left" w:pos="1080"/>
              </w:tabs>
              <w:rPr>
                <w:rFonts w:asciiTheme="minorHAnsi" w:hAnsiTheme="minorHAnsi" w:cstheme="minorHAnsi"/>
                <w:lang w:val="ro-RO"/>
              </w:rPr>
            </w:pPr>
            <w:r>
              <w:rPr>
                <w:rFonts w:asciiTheme="minorHAnsi" w:hAnsiTheme="minorHAnsi" w:cstheme="minorHAnsi"/>
                <w:lang w:val="ro-RO"/>
              </w:rPr>
              <w:t>Modul de calculare și termenele de achitare a accizelor</w:t>
            </w:r>
          </w:p>
        </w:tc>
        <w:tc>
          <w:tcPr>
            <w:tcW w:w="8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Change w:id="6" w:author="Mariana" w:date="2012-05-21T15:37:00Z">
              <w:tcPr>
                <w:tcW w:w="8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cPrChange>
          </w:tcPr>
          <w:p w:rsidR="003F4041" w:rsidRDefault="003F4041" w:rsidP="00011AE8">
            <w:pPr>
              <w:rPr>
                <w:rFonts w:asciiTheme="minorHAnsi" w:hAnsiTheme="minorHAnsi" w:cstheme="minorHAnsi"/>
                <w:b/>
                <w:lang w:val="ro-RO"/>
              </w:rPr>
            </w:pPr>
          </w:p>
          <w:p w:rsidR="003F4041" w:rsidRDefault="003F4041" w:rsidP="00011AE8">
            <w:pPr>
              <w:rPr>
                <w:rFonts w:asciiTheme="minorHAnsi" w:hAnsiTheme="minorHAnsi" w:cstheme="minorHAnsi"/>
                <w:lang w:val="ro-RO"/>
              </w:rPr>
            </w:pPr>
            <w:r>
              <w:rPr>
                <w:rFonts w:asciiTheme="minorHAnsi" w:hAnsiTheme="minorHAnsi" w:cstheme="minorHAnsi"/>
                <w:b/>
                <w:lang w:val="ro-RO"/>
              </w:rPr>
              <w:t xml:space="preserve">La </w:t>
            </w:r>
            <w:proofErr w:type="spellStart"/>
            <w:r>
              <w:rPr>
                <w:rFonts w:asciiTheme="minorHAnsi" w:hAnsiTheme="minorHAnsi" w:cstheme="minorHAnsi"/>
                <w:b/>
                <w:lang w:val="ro-RO"/>
              </w:rPr>
              <w:t>art</w:t>
            </w:r>
            <w:proofErr w:type="spellEnd"/>
            <w:r>
              <w:rPr>
                <w:rFonts w:asciiTheme="minorHAnsi" w:hAnsiTheme="minorHAnsi" w:cstheme="minorHAnsi"/>
                <w:b/>
                <w:lang w:val="ro-RO"/>
              </w:rPr>
              <w:t xml:space="preserve"> 123, alin (1), </w:t>
            </w:r>
            <w:proofErr w:type="spellStart"/>
            <w:r>
              <w:rPr>
                <w:rFonts w:asciiTheme="minorHAnsi" w:hAnsiTheme="minorHAnsi" w:cstheme="minorHAnsi"/>
                <w:b/>
                <w:lang w:val="ro-RO"/>
              </w:rPr>
              <w:t>lit</w:t>
            </w:r>
            <w:proofErr w:type="spellEnd"/>
            <w:r>
              <w:rPr>
                <w:rFonts w:asciiTheme="minorHAnsi" w:hAnsiTheme="minorHAnsi" w:cstheme="minorHAnsi"/>
                <w:b/>
                <w:lang w:val="ro-RO"/>
              </w:rPr>
              <w:t xml:space="preserve"> b)</w:t>
            </w:r>
            <w:r>
              <w:rPr>
                <w:rFonts w:asciiTheme="minorHAnsi" w:hAnsiTheme="minorHAnsi" w:cstheme="minorHAnsi"/>
                <w:lang w:val="ro-RO"/>
              </w:rPr>
              <w:t>: sugerăm modificarea și redarea în următoarea redacție:</w:t>
            </w:r>
          </w:p>
          <w:p w:rsidR="003F4041" w:rsidRDefault="003F4041" w:rsidP="00011AE8">
            <w:pPr>
              <w:rPr>
                <w:rFonts w:asciiTheme="minorHAnsi" w:hAnsiTheme="minorHAnsi" w:cstheme="minorHAnsi"/>
                <w:lang w:val="ro-RO"/>
              </w:rPr>
            </w:pPr>
          </w:p>
          <w:p w:rsidR="003F4041" w:rsidRDefault="003F4041" w:rsidP="00011AE8">
            <w:pPr>
              <w:tabs>
                <w:tab w:val="left" w:pos="1080"/>
                <w:tab w:val="left" w:pos="1455"/>
                <w:tab w:val="left" w:pos="1845"/>
              </w:tabs>
              <w:suppressAutoHyphens/>
              <w:jc w:val="both"/>
              <w:rPr>
                <w:rFonts w:asciiTheme="minorHAnsi" w:hAnsiTheme="minorHAnsi" w:cstheme="minorHAnsi"/>
                <w:lang w:val="ro-RO"/>
              </w:rPr>
            </w:pPr>
            <w:r>
              <w:rPr>
                <w:rFonts w:asciiTheme="minorHAnsi" w:hAnsiTheme="minorHAnsi" w:cstheme="minorHAnsi"/>
                <w:b/>
                <w:lang w:val="ro-RO"/>
              </w:rPr>
              <w:t>Varianta curentă:</w:t>
            </w:r>
            <w:r>
              <w:rPr>
                <w:rFonts w:asciiTheme="minorHAnsi" w:hAnsiTheme="minorHAnsi" w:cstheme="minorHAnsi"/>
                <w:lang w:val="ro-RO"/>
              </w:rPr>
              <w:t xml:space="preserve"> b) achită accizele la momentul expedierii (transportării) mărfurilor din încăperea de acciz cotelor stabilite in anexa la prezentul titlu</w:t>
            </w:r>
          </w:p>
          <w:p w:rsidR="003F4041" w:rsidRDefault="003F4041" w:rsidP="00011AE8">
            <w:pPr>
              <w:tabs>
                <w:tab w:val="left" w:pos="1080"/>
                <w:tab w:val="left" w:pos="1455"/>
                <w:tab w:val="left" w:pos="1845"/>
              </w:tabs>
              <w:suppressAutoHyphens/>
              <w:jc w:val="both"/>
              <w:rPr>
                <w:rFonts w:asciiTheme="minorHAnsi" w:hAnsiTheme="minorHAnsi" w:cstheme="minorHAnsi"/>
                <w:lang w:val="ro-RO"/>
              </w:rPr>
            </w:pPr>
          </w:p>
          <w:p w:rsidR="003F4041" w:rsidRDefault="003F4041" w:rsidP="00011AE8">
            <w:pPr>
              <w:tabs>
                <w:tab w:val="left" w:pos="1080"/>
                <w:tab w:val="left" w:pos="1455"/>
                <w:tab w:val="left" w:pos="1845"/>
              </w:tabs>
              <w:suppressAutoHyphens/>
              <w:jc w:val="both"/>
              <w:rPr>
                <w:rFonts w:asciiTheme="minorHAnsi" w:hAnsiTheme="minorHAnsi" w:cstheme="minorHAnsi"/>
                <w:lang w:val="ro-RO"/>
              </w:rPr>
            </w:pPr>
            <w:r>
              <w:rPr>
                <w:rFonts w:asciiTheme="minorHAnsi" w:hAnsiTheme="minorHAnsi" w:cstheme="minorHAnsi"/>
                <w:b/>
                <w:lang w:val="ro-RO"/>
              </w:rPr>
              <w:t>Varianta propusă:</w:t>
            </w:r>
            <w:r>
              <w:rPr>
                <w:rFonts w:asciiTheme="minorHAnsi" w:hAnsiTheme="minorHAnsi" w:cstheme="minorHAnsi"/>
                <w:lang w:val="ro-RO"/>
              </w:rPr>
              <w:t xml:space="preserve"> </w:t>
            </w:r>
            <w:r>
              <w:rPr>
                <w:rFonts w:asciiTheme="minorHAnsi" w:hAnsiTheme="minorHAnsi" w:cstheme="minorHAnsi"/>
                <w:i/>
                <w:lang w:val="ro-RO"/>
              </w:rPr>
              <w:t xml:space="preserve">b) achită accizele </w:t>
            </w:r>
            <w:proofErr w:type="spellStart"/>
            <w:r>
              <w:rPr>
                <w:rFonts w:asciiTheme="minorHAnsi" w:hAnsiTheme="minorHAnsi" w:cstheme="minorHAnsi"/>
                <w:i/>
                <w:lang w:val="ro-RO"/>
              </w:rPr>
              <w:t>pînă</w:t>
            </w:r>
            <w:proofErr w:type="spellEnd"/>
            <w:r>
              <w:rPr>
                <w:rFonts w:asciiTheme="minorHAnsi" w:hAnsiTheme="minorHAnsi" w:cstheme="minorHAnsi"/>
                <w:i/>
                <w:lang w:val="ro-RO"/>
              </w:rPr>
              <w:t xml:space="preserve"> la sfârșitul lunii, in care au fost calculate conform cotelor stabilite in anexa la prezentul titlu </w:t>
            </w:r>
          </w:p>
          <w:p w:rsidR="003F4041" w:rsidRDefault="003F4041" w:rsidP="00011AE8">
            <w:pPr>
              <w:tabs>
                <w:tab w:val="left" w:pos="1080"/>
                <w:tab w:val="left" w:pos="1455"/>
                <w:tab w:val="left" w:pos="1845"/>
              </w:tabs>
              <w:suppressAutoHyphens/>
              <w:jc w:val="both"/>
              <w:rPr>
                <w:rFonts w:asciiTheme="minorHAnsi" w:hAnsiTheme="minorHAnsi" w:cstheme="minorHAnsi"/>
                <w:lang w:val="ro-RO"/>
              </w:rPr>
            </w:pPr>
          </w:p>
          <w:p w:rsidR="003F4041" w:rsidRDefault="003F4041" w:rsidP="00011AE8">
            <w:pPr>
              <w:rPr>
                <w:rFonts w:asciiTheme="minorHAnsi" w:hAnsiTheme="minorHAnsi" w:cstheme="minorHAnsi"/>
                <w:lang w:val="ro-RO"/>
              </w:rPr>
            </w:pPr>
            <w:r>
              <w:rPr>
                <w:rFonts w:asciiTheme="minorHAnsi" w:hAnsiTheme="minorHAnsi" w:cstheme="minorHAnsi"/>
                <w:lang w:val="ro-RO"/>
              </w:rPr>
              <w:t xml:space="preserve">Aceasta modificare este condiționată de faptul că întreprinderile producătoare de produse accizabile, ca regulă, vând produsele în credit pe o perioada de </w:t>
            </w:r>
            <w:proofErr w:type="spellStart"/>
            <w:r>
              <w:rPr>
                <w:rFonts w:asciiTheme="minorHAnsi" w:hAnsiTheme="minorHAnsi" w:cstheme="minorHAnsi"/>
                <w:lang w:val="ro-RO"/>
              </w:rPr>
              <w:t>pînă</w:t>
            </w:r>
            <w:proofErr w:type="spellEnd"/>
            <w:r>
              <w:rPr>
                <w:rFonts w:asciiTheme="minorHAnsi" w:hAnsiTheme="minorHAnsi" w:cstheme="minorHAnsi"/>
                <w:lang w:val="ro-RO"/>
              </w:rPr>
              <w:t xml:space="preserve"> la o luna, respectiv plata accizului la momentul expedierii impune creditarea cumpărătorului cât și a bugetului în mărimea accizei, ceea ce cauzează creșterea necesității de capital circulant la întreprinderi.  </w:t>
            </w:r>
          </w:p>
          <w:p w:rsidR="003F4041" w:rsidRDefault="003F4041" w:rsidP="00011AE8">
            <w:pPr>
              <w:rPr>
                <w:rFonts w:asciiTheme="minorHAnsi" w:hAnsiTheme="minorHAnsi" w:cstheme="minorHAnsi"/>
                <w:b/>
                <w:color w:val="000000" w:themeColor="text1"/>
                <w:u w:val="single"/>
                <w:lang w:val="ro-RO"/>
              </w:rPr>
            </w:pPr>
          </w:p>
          <w:p w:rsidR="003F4041" w:rsidRDefault="003F4041" w:rsidP="00011AE8">
            <w:pPr>
              <w:rPr>
                <w:rFonts w:asciiTheme="minorHAnsi" w:hAnsiTheme="minorHAnsi" w:cstheme="minorHAnsi"/>
                <w:color w:val="000000" w:themeColor="text1"/>
                <w:lang w:val="ro-RO"/>
              </w:rPr>
            </w:pPr>
            <w:r>
              <w:rPr>
                <w:rFonts w:asciiTheme="minorHAnsi" w:hAnsiTheme="minorHAnsi" w:cstheme="minorHAnsi"/>
                <w:color w:val="000000" w:themeColor="text1"/>
                <w:lang w:val="ro-RO"/>
              </w:rPr>
              <w:t xml:space="preserve">De asemenea, achitarea accizului la momentul expedierii mărfurilor din încăperea de acciz este un proces ce implică multe costuri administrative (multe întreprinderi fac livrări zilnic de mai multe ori, respectiv de fiecare dată din timp trebuie efectuată și plata în bugetul de stat). </w:t>
            </w:r>
          </w:p>
          <w:p w:rsidR="003F4041" w:rsidRDefault="003F4041" w:rsidP="00011AE8">
            <w:pPr>
              <w:rPr>
                <w:rFonts w:asciiTheme="minorHAnsi" w:hAnsiTheme="minorHAnsi" w:cstheme="minorHAnsi"/>
                <w:color w:val="000000" w:themeColor="text1"/>
                <w:u w:val="single"/>
                <w:lang w:val="ro-RO"/>
              </w:rPr>
            </w:pPr>
          </w:p>
          <w:p w:rsidR="003F4041" w:rsidRDefault="003F4041" w:rsidP="00011AE8">
            <w:pPr>
              <w:rPr>
                <w:rFonts w:asciiTheme="minorHAnsi" w:hAnsiTheme="minorHAnsi" w:cstheme="minorHAnsi"/>
                <w:color w:val="000000" w:themeColor="text1"/>
                <w:u w:val="single"/>
                <w:lang w:val="ro-RO"/>
              </w:rPr>
            </w:pPr>
            <w:r>
              <w:rPr>
                <w:rFonts w:asciiTheme="minorHAnsi" w:hAnsiTheme="minorHAnsi" w:cstheme="minorHAnsi"/>
                <w:color w:val="000000" w:themeColor="text1"/>
                <w:u w:val="single"/>
                <w:lang w:val="ro-RO"/>
              </w:rPr>
              <w:t xml:space="preserve">Ar fi logic ca momentul plății să fie introdus conform modului propus de către noi sau similar modului de plată aplicat pentru TVA. </w:t>
            </w:r>
          </w:p>
          <w:p w:rsidR="003F4041" w:rsidRDefault="003F4041" w:rsidP="00011AE8">
            <w:pPr>
              <w:rPr>
                <w:rFonts w:asciiTheme="minorHAnsi" w:hAnsiTheme="minorHAnsi" w:cstheme="minorHAnsi"/>
                <w:b/>
                <w:color w:val="000000" w:themeColor="text1"/>
                <w:u w:val="single"/>
                <w:lang w:val="ro-RO"/>
              </w:rPr>
            </w:pPr>
          </w:p>
        </w:tc>
      </w:tr>
    </w:tbl>
    <w:p w:rsidR="003F4041" w:rsidRPr="001B0A38" w:rsidRDefault="003F4041" w:rsidP="003F4041">
      <w:pPr>
        <w:rPr>
          <w:lang w:val="en-US"/>
        </w:rPr>
      </w:pPr>
    </w:p>
    <w:p w:rsidR="008A0186" w:rsidRPr="003F4041" w:rsidRDefault="008A0186" w:rsidP="003F7C31">
      <w:pPr>
        <w:shd w:val="clear" w:color="auto" w:fill="FFFFFF"/>
        <w:spacing w:after="0" w:line="240" w:lineRule="auto"/>
        <w:rPr>
          <w:rFonts w:asciiTheme="majorHAnsi" w:hAnsiTheme="majorHAnsi" w:cstheme="minorHAnsi"/>
          <w:b/>
          <w:bCs/>
          <w:spacing w:val="-1"/>
          <w:lang w:val="en-US"/>
        </w:rPr>
      </w:pPr>
    </w:p>
    <w:sectPr w:rsidR="008A0186" w:rsidRPr="003F4041" w:rsidSect="00207DBB">
      <w:pgSz w:w="11906" w:h="16838" w:code="9"/>
      <w:pgMar w:top="360" w:right="476" w:bottom="360" w:left="5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779" w:rsidRDefault="00CA3779">
      <w:pPr>
        <w:spacing w:after="0" w:line="240" w:lineRule="auto"/>
      </w:pPr>
      <w:r>
        <w:separator/>
      </w:r>
    </w:p>
  </w:endnote>
  <w:endnote w:type="continuationSeparator" w:id="0">
    <w:p w:rsidR="00CA3779" w:rsidRDefault="00CA37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779" w:rsidRDefault="00CA3779">
      <w:pPr>
        <w:spacing w:after="0" w:line="240" w:lineRule="auto"/>
      </w:pPr>
      <w:r>
        <w:separator/>
      </w:r>
    </w:p>
  </w:footnote>
  <w:footnote w:type="continuationSeparator" w:id="0">
    <w:p w:rsidR="00CA3779" w:rsidRDefault="00CA3779">
      <w:pPr>
        <w:spacing w:after="0" w:line="240" w:lineRule="auto"/>
      </w:pPr>
      <w:r>
        <w:continuationSeparator/>
      </w:r>
    </w:p>
  </w:footnote>
  <w:footnote w:id="1">
    <w:p w:rsidR="003C6043" w:rsidRPr="00DD088F" w:rsidRDefault="003C6043" w:rsidP="00195370">
      <w:pPr>
        <w:pStyle w:val="afe"/>
        <w:rPr>
          <w:sz w:val="16"/>
          <w:szCs w:val="16"/>
        </w:rPr>
      </w:pPr>
      <w:r>
        <w:rPr>
          <w:rStyle w:val="aff0"/>
        </w:rPr>
        <w:footnoteRef/>
      </w:r>
      <w:r>
        <w:t xml:space="preserve"> </w:t>
      </w:r>
      <w:r w:rsidRPr="00DD088F">
        <w:rPr>
          <w:sz w:val="16"/>
          <w:szCs w:val="16"/>
        </w:rPr>
        <w:t xml:space="preserve">Art. 20 al </w:t>
      </w:r>
      <w:proofErr w:type="spellStart"/>
      <w:r w:rsidRPr="00DD088F">
        <w:rPr>
          <w:sz w:val="16"/>
          <w:szCs w:val="16"/>
        </w:rPr>
        <w:t>Codului</w:t>
      </w:r>
      <w:proofErr w:type="spellEnd"/>
      <w:r w:rsidRPr="00DD088F">
        <w:rPr>
          <w:sz w:val="16"/>
          <w:szCs w:val="16"/>
        </w:rPr>
        <w:t xml:space="preserve"> fiscal a </w:t>
      </w:r>
      <w:proofErr w:type="spellStart"/>
      <w:r w:rsidRPr="00DD088F">
        <w:rPr>
          <w:sz w:val="16"/>
          <w:szCs w:val="16"/>
        </w:rPr>
        <w:t>fost</w:t>
      </w:r>
      <w:proofErr w:type="spellEnd"/>
      <w:r w:rsidRPr="00DD088F">
        <w:rPr>
          <w:sz w:val="16"/>
          <w:szCs w:val="16"/>
        </w:rPr>
        <w:t xml:space="preserve"> </w:t>
      </w:r>
      <w:proofErr w:type="spellStart"/>
      <w:r w:rsidRPr="00DD088F">
        <w:rPr>
          <w:sz w:val="16"/>
          <w:szCs w:val="16"/>
        </w:rPr>
        <w:t>completat</w:t>
      </w:r>
      <w:proofErr w:type="spellEnd"/>
      <w:r w:rsidRPr="00DD088F">
        <w:rPr>
          <w:sz w:val="16"/>
          <w:szCs w:val="16"/>
        </w:rPr>
        <w:t xml:space="preserve"> cu lit p</w:t>
      </w:r>
      <w:r w:rsidRPr="00DD088F">
        <w:rPr>
          <w:rStyle w:val="aff0"/>
          <w:sz w:val="16"/>
          <w:szCs w:val="16"/>
        </w:rPr>
        <w:t>1</w:t>
      </w:r>
      <w:r w:rsidRPr="00DD088F">
        <w:rPr>
          <w:sz w:val="16"/>
          <w:szCs w:val="16"/>
        </w:rPr>
        <w:t xml:space="preserve">) </w:t>
      </w:r>
      <w:proofErr w:type="spellStart"/>
      <w:r w:rsidRPr="00DD088F">
        <w:rPr>
          <w:sz w:val="16"/>
          <w:szCs w:val="16"/>
        </w:rPr>
        <w:t>prin</w:t>
      </w:r>
      <w:proofErr w:type="spellEnd"/>
      <w:r w:rsidRPr="00DD088F">
        <w:rPr>
          <w:sz w:val="16"/>
          <w:szCs w:val="16"/>
        </w:rPr>
        <w:t xml:space="preserve"> </w:t>
      </w:r>
      <w:proofErr w:type="spellStart"/>
      <w:r w:rsidRPr="00DD088F">
        <w:rPr>
          <w:sz w:val="16"/>
          <w:szCs w:val="16"/>
        </w:rPr>
        <w:t>Legea</w:t>
      </w:r>
      <w:proofErr w:type="spellEnd"/>
      <w:r w:rsidRPr="00DD088F">
        <w:rPr>
          <w:sz w:val="16"/>
          <w:szCs w:val="16"/>
        </w:rPr>
        <w:t xml:space="preserve"> nr. 154-XVI  din  21.07.2005</w:t>
      </w:r>
    </w:p>
  </w:footnote>
  <w:footnote w:id="2">
    <w:p w:rsidR="003C6043" w:rsidRPr="005C401F" w:rsidRDefault="003C6043" w:rsidP="00E328FF">
      <w:pPr>
        <w:rPr>
          <w:rFonts w:ascii="Tahoma" w:hAnsi="Tahoma" w:cs="Tahoma"/>
          <w:i/>
          <w:color w:val="000000"/>
          <w:sz w:val="16"/>
          <w:szCs w:val="16"/>
          <w:lang w:val="ro-RO" w:eastAsia="ro-RO"/>
        </w:rPr>
      </w:pPr>
      <w:r w:rsidRPr="005C401F">
        <w:rPr>
          <w:rStyle w:val="aff0"/>
          <w:i/>
          <w:sz w:val="16"/>
          <w:szCs w:val="16"/>
          <w:lang w:val="ro-RO"/>
        </w:rPr>
        <w:footnoteRef/>
      </w:r>
      <w:r w:rsidRPr="005C401F">
        <w:rPr>
          <w:i/>
          <w:sz w:val="16"/>
          <w:szCs w:val="16"/>
          <w:lang w:val="ro-RO"/>
        </w:rPr>
        <w:t xml:space="preserve"> Prin modificările aduse de </w:t>
      </w:r>
      <w:r w:rsidRPr="005C401F">
        <w:rPr>
          <w:i/>
          <w:sz w:val="16"/>
          <w:szCs w:val="16"/>
          <w:lang w:val="ro-RO" w:eastAsia="ro-RO"/>
        </w:rPr>
        <w:t xml:space="preserve">Legea </w:t>
      </w:r>
      <w:r>
        <w:rPr>
          <w:i/>
          <w:sz w:val="16"/>
          <w:szCs w:val="16"/>
          <w:lang w:val="ro-RO" w:eastAsia="ro-RO"/>
        </w:rPr>
        <w:t xml:space="preserve">nr. </w:t>
      </w:r>
      <w:r w:rsidRPr="005C401F">
        <w:rPr>
          <w:i/>
          <w:sz w:val="16"/>
          <w:szCs w:val="16"/>
          <w:lang w:val="ro-RO" w:eastAsia="ro-RO"/>
        </w:rPr>
        <w:t>350/21.10.2004 pentru modificarea si completarea unor acte legislative</w:t>
      </w:r>
    </w:p>
  </w:footnote>
  <w:footnote w:id="3">
    <w:p w:rsidR="003C6043" w:rsidRPr="00A82683" w:rsidRDefault="003C6043" w:rsidP="00E328FF">
      <w:pPr>
        <w:pStyle w:val="cn"/>
        <w:jc w:val="left"/>
        <w:rPr>
          <w:rFonts w:ascii="Arial" w:hAnsi="Arial" w:cs="Arial"/>
          <w:i/>
          <w:sz w:val="16"/>
          <w:szCs w:val="16"/>
        </w:rPr>
      </w:pPr>
      <w:r w:rsidRPr="00A82683">
        <w:rPr>
          <w:rStyle w:val="aff0"/>
          <w:rFonts w:ascii="Arial" w:hAnsi="Arial" w:cs="Arial"/>
          <w:i/>
          <w:sz w:val="16"/>
          <w:szCs w:val="16"/>
        </w:rPr>
        <w:footnoteRef/>
      </w:r>
      <w:r w:rsidRPr="00A82683">
        <w:rPr>
          <w:rFonts w:ascii="Arial" w:hAnsi="Arial" w:cs="Arial"/>
          <w:i/>
          <w:sz w:val="16"/>
          <w:szCs w:val="16"/>
        </w:rPr>
        <w:t xml:space="preserve"> Aprobat prin Hotărârea Guvernului nr. 790 din 1 decembrie 2009</w:t>
      </w:r>
    </w:p>
  </w:footnote>
  <w:footnote w:id="4">
    <w:p w:rsidR="003C6043" w:rsidRPr="00377E44" w:rsidRDefault="003C6043" w:rsidP="00E328FF">
      <w:pPr>
        <w:pStyle w:val="afe"/>
        <w:rPr>
          <w:i/>
          <w:sz w:val="16"/>
          <w:szCs w:val="16"/>
        </w:rPr>
      </w:pPr>
      <w:r w:rsidRPr="00377E44">
        <w:rPr>
          <w:rStyle w:val="aff0"/>
          <w:i/>
          <w:sz w:val="16"/>
          <w:szCs w:val="16"/>
        </w:rPr>
        <w:footnoteRef/>
      </w:r>
      <w:r w:rsidRPr="00377E44">
        <w:rPr>
          <w:i/>
          <w:sz w:val="16"/>
          <w:szCs w:val="16"/>
        </w:rPr>
        <w:t xml:space="preserve"> </w:t>
      </w:r>
      <w:proofErr w:type="spellStart"/>
      <w:proofErr w:type="gramStart"/>
      <w:r w:rsidRPr="00377E44">
        <w:rPr>
          <w:i/>
          <w:sz w:val="16"/>
          <w:szCs w:val="16"/>
        </w:rPr>
        <w:t>Hotărâre</w:t>
      </w:r>
      <w:proofErr w:type="spellEnd"/>
      <w:r w:rsidRPr="00377E44">
        <w:rPr>
          <w:i/>
          <w:sz w:val="16"/>
          <w:szCs w:val="16"/>
        </w:rPr>
        <w:t xml:space="preserve"> </w:t>
      </w:r>
      <w:proofErr w:type="spellStart"/>
      <w:r w:rsidRPr="00377E44">
        <w:rPr>
          <w:i/>
          <w:sz w:val="16"/>
          <w:szCs w:val="16"/>
        </w:rPr>
        <w:t>pentru</w:t>
      </w:r>
      <w:proofErr w:type="spellEnd"/>
      <w:r w:rsidRPr="00377E44">
        <w:rPr>
          <w:i/>
          <w:sz w:val="16"/>
          <w:szCs w:val="16"/>
        </w:rPr>
        <w:t xml:space="preserve"> </w:t>
      </w:r>
      <w:proofErr w:type="spellStart"/>
      <w:r w:rsidRPr="00377E44">
        <w:rPr>
          <w:i/>
          <w:sz w:val="16"/>
          <w:szCs w:val="16"/>
        </w:rPr>
        <w:t>aprobarea</w:t>
      </w:r>
      <w:proofErr w:type="spellEnd"/>
      <w:r w:rsidRPr="00377E44">
        <w:rPr>
          <w:i/>
          <w:sz w:val="16"/>
          <w:szCs w:val="16"/>
        </w:rPr>
        <w:t xml:space="preserve"> </w:t>
      </w:r>
      <w:proofErr w:type="spellStart"/>
      <w:r w:rsidRPr="00377E44">
        <w:rPr>
          <w:i/>
          <w:sz w:val="16"/>
          <w:szCs w:val="16"/>
        </w:rPr>
        <w:t>Regulamentului</w:t>
      </w:r>
      <w:proofErr w:type="spellEnd"/>
      <w:r w:rsidRPr="00377E44">
        <w:rPr>
          <w:i/>
          <w:sz w:val="16"/>
          <w:szCs w:val="16"/>
        </w:rPr>
        <w:t xml:space="preserve"> cu </w:t>
      </w:r>
      <w:proofErr w:type="spellStart"/>
      <w:r w:rsidRPr="00377E44">
        <w:rPr>
          <w:i/>
          <w:sz w:val="16"/>
          <w:szCs w:val="16"/>
        </w:rPr>
        <w:t>privire</w:t>
      </w:r>
      <w:proofErr w:type="spellEnd"/>
      <w:r w:rsidRPr="00377E44">
        <w:rPr>
          <w:i/>
          <w:sz w:val="16"/>
          <w:szCs w:val="16"/>
        </w:rPr>
        <w:t xml:space="preserve"> la </w:t>
      </w:r>
      <w:proofErr w:type="spellStart"/>
      <w:r w:rsidRPr="00377E44">
        <w:rPr>
          <w:i/>
          <w:sz w:val="16"/>
          <w:szCs w:val="16"/>
        </w:rPr>
        <w:t>modul</w:t>
      </w:r>
      <w:proofErr w:type="spellEnd"/>
      <w:r w:rsidRPr="00377E44">
        <w:rPr>
          <w:i/>
          <w:sz w:val="16"/>
          <w:szCs w:val="16"/>
        </w:rPr>
        <w:t xml:space="preserve"> de </w:t>
      </w:r>
      <w:proofErr w:type="spellStart"/>
      <w:r w:rsidRPr="00377E44">
        <w:rPr>
          <w:i/>
          <w:sz w:val="16"/>
          <w:szCs w:val="16"/>
        </w:rPr>
        <w:t>aplicare</w:t>
      </w:r>
      <w:proofErr w:type="spellEnd"/>
      <w:r w:rsidRPr="00377E44">
        <w:rPr>
          <w:i/>
          <w:sz w:val="16"/>
          <w:szCs w:val="16"/>
        </w:rPr>
        <w:t xml:space="preserve"> a </w:t>
      </w:r>
      <w:proofErr w:type="spellStart"/>
      <w:r w:rsidRPr="00377E44">
        <w:rPr>
          <w:i/>
          <w:sz w:val="16"/>
          <w:szCs w:val="16"/>
        </w:rPr>
        <w:t>facilităţilor</w:t>
      </w:r>
      <w:proofErr w:type="spellEnd"/>
      <w:r w:rsidRPr="00377E44">
        <w:rPr>
          <w:i/>
          <w:sz w:val="16"/>
          <w:szCs w:val="16"/>
        </w:rPr>
        <w:t xml:space="preserve"> </w:t>
      </w:r>
      <w:proofErr w:type="spellStart"/>
      <w:r w:rsidRPr="00377E44">
        <w:rPr>
          <w:i/>
          <w:sz w:val="16"/>
          <w:szCs w:val="16"/>
        </w:rPr>
        <w:t>fiscale</w:t>
      </w:r>
      <w:proofErr w:type="spellEnd"/>
      <w:r w:rsidRPr="00377E44">
        <w:rPr>
          <w:i/>
          <w:sz w:val="16"/>
          <w:szCs w:val="16"/>
        </w:rPr>
        <w:t xml:space="preserve"> </w:t>
      </w:r>
      <w:proofErr w:type="spellStart"/>
      <w:r w:rsidRPr="00377E44">
        <w:rPr>
          <w:i/>
          <w:sz w:val="16"/>
          <w:szCs w:val="16"/>
        </w:rPr>
        <w:t>stabilite</w:t>
      </w:r>
      <w:proofErr w:type="spellEnd"/>
      <w:r w:rsidRPr="00377E44">
        <w:rPr>
          <w:i/>
          <w:sz w:val="16"/>
          <w:szCs w:val="16"/>
        </w:rPr>
        <w:t xml:space="preserve"> </w:t>
      </w:r>
      <w:proofErr w:type="spellStart"/>
      <w:r w:rsidRPr="00377E44">
        <w:rPr>
          <w:i/>
          <w:sz w:val="16"/>
          <w:szCs w:val="16"/>
        </w:rPr>
        <w:t>în</w:t>
      </w:r>
      <w:proofErr w:type="spellEnd"/>
      <w:r w:rsidRPr="00377E44">
        <w:rPr>
          <w:i/>
          <w:sz w:val="16"/>
          <w:szCs w:val="16"/>
        </w:rPr>
        <w:t xml:space="preserve"> art.</w:t>
      </w:r>
      <w:proofErr w:type="gramEnd"/>
      <w:r w:rsidRPr="00377E44">
        <w:rPr>
          <w:i/>
          <w:sz w:val="16"/>
          <w:szCs w:val="16"/>
        </w:rPr>
        <w:t xml:space="preserve"> </w:t>
      </w:r>
      <w:proofErr w:type="gramStart"/>
      <w:r w:rsidRPr="00377E44">
        <w:rPr>
          <w:i/>
          <w:sz w:val="16"/>
          <w:szCs w:val="16"/>
        </w:rPr>
        <w:t xml:space="preserve">103 </w:t>
      </w:r>
      <w:proofErr w:type="spellStart"/>
      <w:r w:rsidRPr="00377E44">
        <w:rPr>
          <w:i/>
          <w:sz w:val="16"/>
          <w:szCs w:val="16"/>
        </w:rPr>
        <w:t>alin</w:t>
      </w:r>
      <w:proofErr w:type="spellEnd"/>
      <w:r w:rsidRPr="00377E44">
        <w:rPr>
          <w:i/>
          <w:sz w:val="16"/>
          <w:szCs w:val="16"/>
        </w:rPr>
        <w:t>.</w:t>
      </w:r>
      <w:proofErr w:type="gramEnd"/>
      <w:r w:rsidRPr="00377E44">
        <w:rPr>
          <w:i/>
          <w:sz w:val="16"/>
          <w:szCs w:val="16"/>
        </w:rPr>
        <w:t xml:space="preserve"> </w:t>
      </w:r>
      <w:proofErr w:type="gramStart"/>
      <w:r w:rsidRPr="00377E44">
        <w:rPr>
          <w:i/>
          <w:sz w:val="16"/>
          <w:szCs w:val="16"/>
        </w:rPr>
        <w:t xml:space="preserve">(1) pct. 23) al </w:t>
      </w:r>
      <w:proofErr w:type="spellStart"/>
      <w:r w:rsidRPr="00377E44">
        <w:rPr>
          <w:i/>
          <w:sz w:val="16"/>
          <w:szCs w:val="16"/>
        </w:rPr>
        <w:t>Codului</w:t>
      </w:r>
      <w:proofErr w:type="spellEnd"/>
      <w:r w:rsidRPr="00377E44">
        <w:rPr>
          <w:i/>
          <w:sz w:val="16"/>
          <w:szCs w:val="16"/>
        </w:rPr>
        <w:t xml:space="preserve"> fiscal nr.</w:t>
      </w:r>
      <w:proofErr w:type="gramEnd"/>
      <w:r w:rsidRPr="00377E44">
        <w:rPr>
          <w:i/>
          <w:sz w:val="16"/>
          <w:szCs w:val="16"/>
        </w:rPr>
        <w:t xml:space="preserve"> 1163-XIII din 24 </w:t>
      </w:r>
      <w:proofErr w:type="spellStart"/>
      <w:r w:rsidRPr="00377E44">
        <w:rPr>
          <w:i/>
          <w:sz w:val="16"/>
          <w:szCs w:val="16"/>
        </w:rPr>
        <w:t>aprilie</w:t>
      </w:r>
      <w:proofErr w:type="spellEnd"/>
      <w:r w:rsidRPr="00377E44">
        <w:rPr>
          <w:i/>
          <w:sz w:val="16"/>
          <w:szCs w:val="16"/>
        </w:rPr>
        <w:t xml:space="preserve"> 1997 </w:t>
      </w:r>
      <w:proofErr w:type="spellStart"/>
      <w:r w:rsidRPr="00377E44">
        <w:rPr>
          <w:i/>
          <w:sz w:val="16"/>
          <w:szCs w:val="16"/>
        </w:rPr>
        <w:t>şi</w:t>
      </w:r>
      <w:proofErr w:type="spellEnd"/>
      <w:r w:rsidRPr="00377E44">
        <w:rPr>
          <w:i/>
          <w:sz w:val="16"/>
          <w:szCs w:val="16"/>
        </w:rPr>
        <w:t xml:space="preserve"> art. 28 lit. </w:t>
      </w:r>
      <w:proofErr w:type="gramStart"/>
      <w:r w:rsidRPr="00377E44">
        <w:rPr>
          <w:i/>
          <w:sz w:val="16"/>
          <w:szCs w:val="16"/>
        </w:rPr>
        <w:t xml:space="preserve">q) al </w:t>
      </w:r>
      <w:proofErr w:type="spellStart"/>
      <w:r w:rsidRPr="00377E44">
        <w:rPr>
          <w:i/>
          <w:sz w:val="16"/>
          <w:szCs w:val="16"/>
        </w:rPr>
        <w:t>Legii</w:t>
      </w:r>
      <w:proofErr w:type="spellEnd"/>
      <w:r w:rsidRPr="00377E44">
        <w:rPr>
          <w:i/>
          <w:sz w:val="16"/>
          <w:szCs w:val="16"/>
        </w:rPr>
        <w:t xml:space="preserve"> nr.</w:t>
      </w:r>
      <w:proofErr w:type="gramEnd"/>
      <w:r w:rsidRPr="00377E44">
        <w:rPr>
          <w:i/>
          <w:sz w:val="16"/>
          <w:szCs w:val="16"/>
        </w:rPr>
        <w:t xml:space="preserve"> 1380-XIII din 20 </w:t>
      </w:r>
      <w:proofErr w:type="spellStart"/>
      <w:r w:rsidRPr="00377E44">
        <w:rPr>
          <w:i/>
          <w:sz w:val="16"/>
          <w:szCs w:val="16"/>
        </w:rPr>
        <w:t>noiembrie</w:t>
      </w:r>
      <w:proofErr w:type="spellEnd"/>
      <w:r w:rsidRPr="00377E44">
        <w:rPr>
          <w:i/>
          <w:sz w:val="16"/>
          <w:szCs w:val="16"/>
        </w:rPr>
        <w:t xml:space="preserve"> 1997 cu </w:t>
      </w:r>
      <w:proofErr w:type="spellStart"/>
      <w:r w:rsidRPr="00377E44">
        <w:rPr>
          <w:i/>
          <w:sz w:val="16"/>
          <w:szCs w:val="16"/>
        </w:rPr>
        <w:t>privire</w:t>
      </w:r>
      <w:proofErr w:type="spellEnd"/>
      <w:r w:rsidRPr="00377E44">
        <w:rPr>
          <w:i/>
          <w:sz w:val="16"/>
          <w:szCs w:val="16"/>
        </w:rPr>
        <w:t xml:space="preserve"> la </w:t>
      </w:r>
      <w:proofErr w:type="spellStart"/>
      <w:r w:rsidRPr="00377E44">
        <w:rPr>
          <w:i/>
          <w:sz w:val="16"/>
          <w:szCs w:val="16"/>
        </w:rPr>
        <w:t>tariful</w:t>
      </w:r>
      <w:proofErr w:type="spellEnd"/>
      <w:r w:rsidRPr="00377E44">
        <w:rPr>
          <w:i/>
          <w:sz w:val="16"/>
          <w:szCs w:val="16"/>
        </w:rPr>
        <w:t xml:space="preserve"> </w:t>
      </w:r>
      <w:proofErr w:type="spellStart"/>
      <w:r w:rsidRPr="00377E44">
        <w:rPr>
          <w:i/>
          <w:sz w:val="16"/>
          <w:szCs w:val="16"/>
        </w:rPr>
        <w:t>vamal</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7"/>
    <w:lvl w:ilvl="0">
      <w:numFmt w:val="bullet"/>
      <w:lvlText w:val="-"/>
      <w:lvlJc w:val="left"/>
      <w:pPr>
        <w:tabs>
          <w:tab w:val="num" w:pos="0"/>
        </w:tabs>
        <w:ind w:left="720" w:hanging="360"/>
      </w:pPr>
      <w:rPr>
        <w:rFonts w:ascii="Arial" w:hAnsi="Arial" w:cs="Arial"/>
      </w:rPr>
    </w:lvl>
  </w:abstractNum>
  <w:abstractNum w:abstractNumId="1">
    <w:nsid w:val="00000007"/>
    <w:multiLevelType w:val="singleLevel"/>
    <w:tmpl w:val="00000007"/>
    <w:name w:val="WW8Num9"/>
    <w:lvl w:ilvl="0">
      <w:start w:val="1"/>
      <w:numFmt w:val="lowerRoman"/>
      <w:lvlText w:val="(%1)"/>
      <w:lvlJc w:val="left"/>
      <w:pPr>
        <w:tabs>
          <w:tab w:val="num" w:pos="0"/>
        </w:tabs>
        <w:ind w:left="720" w:hanging="720"/>
      </w:pPr>
    </w:lvl>
  </w:abstractNum>
  <w:abstractNum w:abstractNumId="2">
    <w:nsid w:val="00000008"/>
    <w:multiLevelType w:val="singleLevel"/>
    <w:tmpl w:val="00000008"/>
    <w:name w:val="WW8Num11"/>
    <w:lvl w:ilvl="0">
      <w:start w:val="1"/>
      <w:numFmt w:val="bullet"/>
      <w:lvlText w:val=""/>
      <w:lvlJc w:val="left"/>
      <w:pPr>
        <w:tabs>
          <w:tab w:val="num" w:pos="0"/>
        </w:tabs>
        <w:ind w:left="1440" w:hanging="360"/>
      </w:pPr>
      <w:rPr>
        <w:rFonts w:ascii="Wingdings" w:hAnsi="Wingdings"/>
      </w:rPr>
    </w:lvl>
  </w:abstractNum>
  <w:abstractNum w:abstractNumId="3">
    <w:nsid w:val="00000009"/>
    <w:multiLevelType w:val="singleLevel"/>
    <w:tmpl w:val="00000009"/>
    <w:name w:val="WW8Num12"/>
    <w:lvl w:ilvl="0">
      <w:start w:val="1"/>
      <w:numFmt w:val="bullet"/>
      <w:lvlText w:val=""/>
      <w:lvlJc w:val="left"/>
      <w:pPr>
        <w:tabs>
          <w:tab w:val="num" w:pos="0"/>
        </w:tabs>
        <w:ind w:left="720" w:hanging="360"/>
      </w:pPr>
      <w:rPr>
        <w:rFonts w:ascii="Wingdings" w:hAnsi="Wingdings"/>
      </w:rPr>
    </w:lvl>
  </w:abstractNum>
  <w:abstractNum w:abstractNumId="4">
    <w:nsid w:val="0000000A"/>
    <w:multiLevelType w:val="singleLevel"/>
    <w:tmpl w:val="0000000A"/>
    <w:name w:val="WW8Num13"/>
    <w:lvl w:ilvl="0">
      <w:start w:val="1"/>
      <w:numFmt w:val="bullet"/>
      <w:lvlText w:val=""/>
      <w:lvlJc w:val="left"/>
      <w:pPr>
        <w:tabs>
          <w:tab w:val="num" w:pos="720"/>
        </w:tabs>
        <w:ind w:left="720" w:hanging="360"/>
      </w:pPr>
      <w:rPr>
        <w:rFonts w:ascii="Wingdings" w:hAnsi="Wingdings"/>
      </w:rPr>
    </w:lvl>
  </w:abstractNum>
  <w:abstractNum w:abstractNumId="5">
    <w:nsid w:val="00014B1E"/>
    <w:multiLevelType w:val="hybridMultilevel"/>
    <w:tmpl w:val="E878D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B00697"/>
    <w:multiLevelType w:val="hybridMultilevel"/>
    <w:tmpl w:val="A0D24646"/>
    <w:lvl w:ilvl="0" w:tplc="11B816B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9A4249"/>
    <w:multiLevelType w:val="hybridMultilevel"/>
    <w:tmpl w:val="54F80BB4"/>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nsid w:val="0984408E"/>
    <w:multiLevelType w:val="multilevel"/>
    <w:tmpl w:val="EE3860A0"/>
    <w:name w:val="PwCListNumbers1"/>
    <w:styleLink w:val="PwCListNumbers1"/>
    <w:lvl w:ilvl="0">
      <w:start w:val="1"/>
      <w:numFmt w:val="decimal"/>
      <w:pStyle w:val="a"/>
      <w:lvlText w:val="%1."/>
      <w:lvlJc w:val="left"/>
      <w:pPr>
        <w:tabs>
          <w:tab w:val="num" w:pos="567"/>
        </w:tabs>
        <w:ind w:left="567" w:hanging="567"/>
      </w:pPr>
      <w:rPr>
        <w:rFonts w:hint="default"/>
      </w:rPr>
    </w:lvl>
    <w:lvl w:ilvl="1">
      <w:start w:val="1"/>
      <w:numFmt w:val="lowerLetter"/>
      <w:pStyle w:val="2"/>
      <w:lvlText w:val="%2."/>
      <w:lvlJc w:val="left"/>
      <w:pPr>
        <w:tabs>
          <w:tab w:val="num" w:pos="1134"/>
        </w:tabs>
        <w:ind w:left="1134" w:hanging="567"/>
      </w:pPr>
      <w:rPr>
        <w:rFonts w:hint="default"/>
      </w:rPr>
    </w:lvl>
    <w:lvl w:ilvl="2">
      <w:start w:val="1"/>
      <w:numFmt w:val="lowerRoman"/>
      <w:pStyle w:val="3"/>
      <w:lvlText w:val="%3."/>
      <w:lvlJc w:val="left"/>
      <w:pPr>
        <w:tabs>
          <w:tab w:val="num" w:pos="1701"/>
        </w:tabs>
        <w:ind w:left="1701" w:hanging="567"/>
      </w:pPr>
      <w:rPr>
        <w:rFonts w:hint="default"/>
      </w:rPr>
    </w:lvl>
    <w:lvl w:ilvl="3">
      <w:start w:val="1"/>
      <w:numFmt w:val="decimal"/>
      <w:pStyle w:val="4"/>
      <w:lvlText w:val="%4."/>
      <w:lvlJc w:val="left"/>
      <w:pPr>
        <w:tabs>
          <w:tab w:val="num" w:pos="2268"/>
        </w:tabs>
        <w:ind w:left="2268" w:hanging="567"/>
      </w:pPr>
      <w:rPr>
        <w:rFonts w:hint="default"/>
      </w:rPr>
    </w:lvl>
    <w:lvl w:ilvl="4">
      <w:start w:val="1"/>
      <w:numFmt w:val="lowerLetter"/>
      <w:pStyle w:val="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9">
    <w:nsid w:val="0E755856"/>
    <w:multiLevelType w:val="hybridMultilevel"/>
    <w:tmpl w:val="5D225010"/>
    <w:lvl w:ilvl="0" w:tplc="4A88B1BA">
      <w:start w:val="1"/>
      <w:numFmt w:val="bullet"/>
      <w:lvlText w:val="–"/>
      <w:lvlJc w:val="left"/>
      <w:pPr>
        <w:tabs>
          <w:tab w:val="num" w:pos="360"/>
        </w:tabs>
        <w:ind w:left="360" w:hanging="360"/>
      </w:pPr>
      <w:rPr>
        <w:rFonts w:ascii="Times New Roman" w:hAnsi="Times New Roman" w:cs="Times New Roman" w:hint="default"/>
      </w:rPr>
    </w:lvl>
    <w:lvl w:ilvl="1" w:tplc="5F42F62A">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EC711D4"/>
    <w:multiLevelType w:val="hybridMultilevel"/>
    <w:tmpl w:val="37E0E53C"/>
    <w:lvl w:ilvl="0" w:tplc="04180005">
      <w:start w:val="1"/>
      <w:numFmt w:val="bullet"/>
      <w:lvlText w:val=""/>
      <w:lvlJc w:val="left"/>
      <w:pPr>
        <w:tabs>
          <w:tab w:val="num" w:pos="360"/>
        </w:tabs>
        <w:ind w:left="360" w:hanging="360"/>
      </w:pPr>
      <w:rPr>
        <w:rFonts w:ascii="Wingdings" w:hAnsi="Wingdings" w:cs="Wingdings"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cs="Wingdings" w:hint="default"/>
      </w:rPr>
    </w:lvl>
    <w:lvl w:ilvl="3" w:tplc="04180001">
      <w:start w:val="1"/>
      <w:numFmt w:val="bullet"/>
      <w:lvlText w:val=""/>
      <w:lvlJc w:val="left"/>
      <w:pPr>
        <w:tabs>
          <w:tab w:val="num" w:pos="2520"/>
        </w:tabs>
        <w:ind w:left="2520" w:hanging="360"/>
      </w:pPr>
      <w:rPr>
        <w:rFonts w:ascii="Symbol" w:hAnsi="Symbol" w:cs="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cs="Wingdings" w:hint="default"/>
      </w:rPr>
    </w:lvl>
    <w:lvl w:ilvl="6" w:tplc="04180001">
      <w:start w:val="1"/>
      <w:numFmt w:val="bullet"/>
      <w:lvlText w:val=""/>
      <w:lvlJc w:val="left"/>
      <w:pPr>
        <w:tabs>
          <w:tab w:val="num" w:pos="4680"/>
        </w:tabs>
        <w:ind w:left="4680" w:hanging="360"/>
      </w:pPr>
      <w:rPr>
        <w:rFonts w:ascii="Symbol" w:hAnsi="Symbol" w:cs="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cs="Wingdings" w:hint="default"/>
      </w:rPr>
    </w:lvl>
  </w:abstractNum>
  <w:abstractNum w:abstractNumId="11">
    <w:nsid w:val="14984DDD"/>
    <w:multiLevelType w:val="hybridMultilevel"/>
    <w:tmpl w:val="A72CB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6849C4"/>
    <w:multiLevelType w:val="multilevel"/>
    <w:tmpl w:val="CD4C98AE"/>
    <w:name w:val="PwCListBullets12"/>
    <w:numStyleLink w:val="PwCListBullets1"/>
  </w:abstractNum>
  <w:abstractNum w:abstractNumId="13">
    <w:nsid w:val="167422D0"/>
    <w:multiLevelType w:val="hybridMultilevel"/>
    <w:tmpl w:val="8CAE86BC"/>
    <w:lvl w:ilvl="0" w:tplc="04180005">
      <w:start w:val="1"/>
      <w:numFmt w:val="bullet"/>
      <w:lvlText w:val=""/>
      <w:lvlJc w:val="left"/>
      <w:pPr>
        <w:tabs>
          <w:tab w:val="num" w:pos="360"/>
        </w:tabs>
        <w:ind w:left="360" w:hanging="360"/>
      </w:pPr>
      <w:rPr>
        <w:rFonts w:ascii="Wingdings" w:hAnsi="Wingdings" w:cs="Wingdings"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cs="Wingdings" w:hint="default"/>
      </w:rPr>
    </w:lvl>
    <w:lvl w:ilvl="3" w:tplc="04180001">
      <w:start w:val="1"/>
      <w:numFmt w:val="bullet"/>
      <w:lvlText w:val=""/>
      <w:lvlJc w:val="left"/>
      <w:pPr>
        <w:tabs>
          <w:tab w:val="num" w:pos="2520"/>
        </w:tabs>
        <w:ind w:left="2520" w:hanging="360"/>
      </w:pPr>
      <w:rPr>
        <w:rFonts w:ascii="Symbol" w:hAnsi="Symbol" w:cs="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cs="Wingdings" w:hint="default"/>
      </w:rPr>
    </w:lvl>
    <w:lvl w:ilvl="6" w:tplc="04180001">
      <w:start w:val="1"/>
      <w:numFmt w:val="bullet"/>
      <w:lvlText w:val=""/>
      <w:lvlJc w:val="left"/>
      <w:pPr>
        <w:tabs>
          <w:tab w:val="num" w:pos="4680"/>
        </w:tabs>
        <w:ind w:left="4680" w:hanging="360"/>
      </w:pPr>
      <w:rPr>
        <w:rFonts w:ascii="Symbol" w:hAnsi="Symbol" w:cs="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cs="Wingdings" w:hint="default"/>
      </w:rPr>
    </w:lvl>
  </w:abstractNum>
  <w:abstractNum w:abstractNumId="14">
    <w:nsid w:val="18547704"/>
    <w:multiLevelType w:val="hybridMultilevel"/>
    <w:tmpl w:val="E6B069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0C13BC"/>
    <w:multiLevelType w:val="hybridMultilevel"/>
    <w:tmpl w:val="D1B0FE6A"/>
    <w:lvl w:ilvl="0" w:tplc="F91648B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1E0849F5"/>
    <w:multiLevelType w:val="multilevel"/>
    <w:tmpl w:val="EE3860A0"/>
    <w:name w:val="PwCListNumbers12"/>
    <w:numStyleLink w:val="PwCListNumbers1"/>
  </w:abstractNum>
  <w:abstractNum w:abstractNumId="17">
    <w:nsid w:val="245E64BB"/>
    <w:multiLevelType w:val="hybridMultilevel"/>
    <w:tmpl w:val="5ECC3AF6"/>
    <w:lvl w:ilvl="0" w:tplc="A5D2F682">
      <w:start w:val="1"/>
      <w:numFmt w:val="lowerRoman"/>
      <w:lvlText w:val="(%1)"/>
      <w:lvlJc w:val="left"/>
      <w:pPr>
        <w:tabs>
          <w:tab w:val="num" w:pos="1080"/>
        </w:tabs>
        <w:ind w:left="1080" w:hanging="72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nsid w:val="24CA2386"/>
    <w:multiLevelType w:val="hybridMultilevel"/>
    <w:tmpl w:val="F1E807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40247D"/>
    <w:multiLevelType w:val="hybridMultilevel"/>
    <w:tmpl w:val="6CC2B480"/>
    <w:lvl w:ilvl="0" w:tplc="04090017">
      <w:start w:val="1"/>
      <w:numFmt w:val="lowerLetter"/>
      <w:lvlText w:val="%1)"/>
      <w:lvlJc w:val="left"/>
      <w:pPr>
        <w:ind w:left="1440" w:hanging="360"/>
      </w:pPr>
      <w:rPr>
        <w:rFonts w:hint="default"/>
      </w:rPr>
    </w:lvl>
    <w:lvl w:ilvl="1" w:tplc="04090017">
      <w:start w:val="1"/>
      <w:numFmt w:val="lowerLetter"/>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EE2459F"/>
    <w:multiLevelType w:val="hybridMultilevel"/>
    <w:tmpl w:val="51BCF31E"/>
    <w:lvl w:ilvl="0" w:tplc="04180005">
      <w:start w:val="1"/>
      <w:numFmt w:val="bullet"/>
      <w:lvlText w:val=""/>
      <w:lvlJc w:val="left"/>
      <w:pPr>
        <w:tabs>
          <w:tab w:val="num" w:pos="360"/>
        </w:tabs>
        <w:ind w:left="360" w:hanging="360"/>
      </w:pPr>
      <w:rPr>
        <w:rFonts w:ascii="Wingdings" w:hAnsi="Wingdings" w:cs="Wingdings"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cs="Wingdings" w:hint="default"/>
      </w:rPr>
    </w:lvl>
    <w:lvl w:ilvl="3" w:tplc="04180001">
      <w:start w:val="1"/>
      <w:numFmt w:val="bullet"/>
      <w:lvlText w:val=""/>
      <w:lvlJc w:val="left"/>
      <w:pPr>
        <w:tabs>
          <w:tab w:val="num" w:pos="2520"/>
        </w:tabs>
        <w:ind w:left="2520" w:hanging="360"/>
      </w:pPr>
      <w:rPr>
        <w:rFonts w:ascii="Symbol" w:hAnsi="Symbol" w:cs="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cs="Wingdings" w:hint="default"/>
      </w:rPr>
    </w:lvl>
    <w:lvl w:ilvl="6" w:tplc="04180001">
      <w:start w:val="1"/>
      <w:numFmt w:val="bullet"/>
      <w:lvlText w:val=""/>
      <w:lvlJc w:val="left"/>
      <w:pPr>
        <w:tabs>
          <w:tab w:val="num" w:pos="4680"/>
        </w:tabs>
        <w:ind w:left="4680" w:hanging="360"/>
      </w:pPr>
      <w:rPr>
        <w:rFonts w:ascii="Symbol" w:hAnsi="Symbol" w:cs="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cs="Wingdings" w:hint="default"/>
      </w:rPr>
    </w:lvl>
  </w:abstractNum>
  <w:abstractNum w:abstractNumId="21">
    <w:nsid w:val="312171AA"/>
    <w:multiLevelType w:val="hybridMultilevel"/>
    <w:tmpl w:val="B26EA30C"/>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2">
    <w:nsid w:val="318D3C90"/>
    <w:multiLevelType w:val="hybridMultilevel"/>
    <w:tmpl w:val="0FA6BA2E"/>
    <w:lvl w:ilvl="0" w:tplc="796C9A6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BA5759"/>
    <w:multiLevelType w:val="hybridMultilevel"/>
    <w:tmpl w:val="54440AD0"/>
    <w:lvl w:ilvl="0" w:tplc="04180005">
      <w:start w:val="1"/>
      <w:numFmt w:val="bullet"/>
      <w:lvlText w:val=""/>
      <w:lvlJc w:val="left"/>
      <w:pPr>
        <w:tabs>
          <w:tab w:val="num" w:pos="360"/>
        </w:tabs>
        <w:ind w:left="360" w:hanging="360"/>
      </w:pPr>
      <w:rPr>
        <w:rFonts w:ascii="Wingdings" w:hAnsi="Wingdings" w:cs="Wingdings"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cs="Wingdings" w:hint="default"/>
      </w:rPr>
    </w:lvl>
    <w:lvl w:ilvl="3" w:tplc="04180001">
      <w:start w:val="1"/>
      <w:numFmt w:val="bullet"/>
      <w:lvlText w:val=""/>
      <w:lvlJc w:val="left"/>
      <w:pPr>
        <w:tabs>
          <w:tab w:val="num" w:pos="2520"/>
        </w:tabs>
        <w:ind w:left="2520" w:hanging="360"/>
      </w:pPr>
      <w:rPr>
        <w:rFonts w:ascii="Symbol" w:hAnsi="Symbol" w:cs="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cs="Wingdings" w:hint="default"/>
      </w:rPr>
    </w:lvl>
    <w:lvl w:ilvl="6" w:tplc="04180001">
      <w:start w:val="1"/>
      <w:numFmt w:val="bullet"/>
      <w:lvlText w:val=""/>
      <w:lvlJc w:val="left"/>
      <w:pPr>
        <w:tabs>
          <w:tab w:val="num" w:pos="4680"/>
        </w:tabs>
        <w:ind w:left="4680" w:hanging="360"/>
      </w:pPr>
      <w:rPr>
        <w:rFonts w:ascii="Symbol" w:hAnsi="Symbol" w:cs="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cs="Wingdings" w:hint="default"/>
      </w:rPr>
    </w:lvl>
  </w:abstractNum>
  <w:abstractNum w:abstractNumId="24">
    <w:nsid w:val="34920F51"/>
    <w:multiLevelType w:val="hybridMultilevel"/>
    <w:tmpl w:val="F600F4F8"/>
    <w:lvl w:ilvl="0" w:tplc="11B816B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B171E4"/>
    <w:multiLevelType w:val="hybridMultilevel"/>
    <w:tmpl w:val="1E88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57486E"/>
    <w:multiLevelType w:val="multilevel"/>
    <w:tmpl w:val="EE3860A0"/>
    <w:name w:val="PwCListNumbers13"/>
    <w:numStyleLink w:val="PwCListNumbers1"/>
  </w:abstractNum>
  <w:abstractNum w:abstractNumId="27">
    <w:nsid w:val="3BEE5D2D"/>
    <w:multiLevelType w:val="hybridMultilevel"/>
    <w:tmpl w:val="54385482"/>
    <w:lvl w:ilvl="0" w:tplc="0409000F">
      <w:start w:val="1"/>
      <w:numFmt w:val="decimal"/>
      <w:lvlText w:val="%1."/>
      <w:lvlJc w:val="left"/>
      <w:pPr>
        <w:ind w:left="720" w:hanging="360"/>
      </w:pPr>
      <w:rPr>
        <w:rFonts w:hint="default"/>
        <w:b/>
      </w:rPr>
    </w:lvl>
    <w:lvl w:ilvl="1" w:tplc="47B0B54C">
      <w:start w:val="2"/>
      <w:numFmt w:val="bullet"/>
      <w:lvlText w:val="-"/>
      <w:lvlJc w:val="left"/>
      <w:pPr>
        <w:ind w:left="1440" w:hanging="360"/>
      </w:pPr>
      <w:rPr>
        <w:rFonts w:ascii="Arial" w:eastAsia="Times New Roman"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54146B"/>
    <w:multiLevelType w:val="hybridMultilevel"/>
    <w:tmpl w:val="0CD836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BF0E10"/>
    <w:multiLevelType w:val="hybridMultilevel"/>
    <w:tmpl w:val="67C2F5D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46D04D73"/>
    <w:multiLevelType w:val="hybridMultilevel"/>
    <w:tmpl w:val="7232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FE695E"/>
    <w:multiLevelType w:val="hybridMultilevel"/>
    <w:tmpl w:val="5784B8D4"/>
    <w:lvl w:ilvl="0" w:tplc="E1064F80">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562466"/>
    <w:multiLevelType w:val="hybridMultilevel"/>
    <w:tmpl w:val="0640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2A5616"/>
    <w:multiLevelType w:val="hybridMultilevel"/>
    <w:tmpl w:val="311207CE"/>
    <w:lvl w:ilvl="0" w:tplc="8976DFD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ED92422"/>
    <w:multiLevelType w:val="hybridMultilevel"/>
    <w:tmpl w:val="90A24480"/>
    <w:lvl w:ilvl="0" w:tplc="0409000F">
      <w:start w:val="1"/>
      <w:numFmt w:val="decimal"/>
      <w:lvlText w:val="%1."/>
      <w:lvlJc w:val="left"/>
      <w:pPr>
        <w:tabs>
          <w:tab w:val="num" w:pos="1080"/>
        </w:tabs>
        <w:ind w:left="1080" w:hanging="720"/>
      </w:pPr>
      <w:rPr>
        <w:rFonts w:hint="default"/>
        <w:i w:val="0"/>
      </w:rPr>
    </w:lvl>
    <w:lvl w:ilvl="1" w:tplc="04180005">
      <w:start w:val="1"/>
      <w:numFmt w:val="bullet"/>
      <w:lvlText w:val=""/>
      <w:lvlJc w:val="left"/>
      <w:pPr>
        <w:tabs>
          <w:tab w:val="num" w:pos="1440"/>
        </w:tabs>
        <w:ind w:left="1440" w:hanging="360"/>
      </w:pPr>
      <w:rPr>
        <w:rFonts w:ascii="Wingdings" w:hAnsi="Wingdings" w:hint="default"/>
        <w:i w:val="0"/>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5">
    <w:nsid w:val="56A24CFB"/>
    <w:multiLevelType w:val="hybridMultilevel"/>
    <w:tmpl w:val="D6DEB232"/>
    <w:lvl w:ilvl="0" w:tplc="8976DFDA">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5D86239C"/>
    <w:multiLevelType w:val="hybridMultilevel"/>
    <w:tmpl w:val="98ACAE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5F883921"/>
    <w:multiLevelType w:val="hybridMultilevel"/>
    <w:tmpl w:val="54385482"/>
    <w:lvl w:ilvl="0" w:tplc="0409000F">
      <w:start w:val="1"/>
      <w:numFmt w:val="decimal"/>
      <w:lvlText w:val="%1."/>
      <w:lvlJc w:val="left"/>
      <w:pPr>
        <w:ind w:left="720" w:hanging="360"/>
      </w:pPr>
      <w:rPr>
        <w:rFonts w:hint="default"/>
        <w:b/>
      </w:rPr>
    </w:lvl>
    <w:lvl w:ilvl="1" w:tplc="47B0B54C">
      <w:start w:val="2"/>
      <w:numFmt w:val="bullet"/>
      <w:lvlText w:val="-"/>
      <w:lvlJc w:val="left"/>
      <w:pPr>
        <w:ind w:left="1440" w:hanging="360"/>
      </w:pPr>
      <w:rPr>
        <w:rFonts w:ascii="Arial" w:eastAsia="Times New Roman"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591107"/>
    <w:multiLevelType w:val="hybridMultilevel"/>
    <w:tmpl w:val="E03A92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D81C62"/>
    <w:multiLevelType w:val="hybridMultilevel"/>
    <w:tmpl w:val="A8E62A84"/>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0">
    <w:nsid w:val="642F2C7E"/>
    <w:multiLevelType w:val="hybridMultilevel"/>
    <w:tmpl w:val="0F3CF0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097036"/>
    <w:multiLevelType w:val="hybridMultilevel"/>
    <w:tmpl w:val="533478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0F16C8"/>
    <w:multiLevelType w:val="hybridMultilevel"/>
    <w:tmpl w:val="6F082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247048"/>
    <w:multiLevelType w:val="hybridMultilevel"/>
    <w:tmpl w:val="6032ECCA"/>
    <w:lvl w:ilvl="0" w:tplc="8976DFD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BE6B29"/>
    <w:multiLevelType w:val="singleLevel"/>
    <w:tmpl w:val="20469EA6"/>
    <w:lvl w:ilvl="0">
      <w:start w:val="1"/>
      <w:numFmt w:val="bullet"/>
      <w:lvlText w:val=""/>
      <w:lvlJc w:val="left"/>
      <w:pPr>
        <w:tabs>
          <w:tab w:val="num" w:pos="340"/>
        </w:tabs>
        <w:ind w:left="340" w:hanging="340"/>
      </w:pPr>
      <w:rPr>
        <w:rFonts w:ascii="Symbol" w:hAnsi="Symbol" w:hint="default"/>
        <w:color w:val="auto"/>
        <w:sz w:val="22"/>
      </w:rPr>
    </w:lvl>
  </w:abstractNum>
  <w:abstractNum w:abstractNumId="45">
    <w:nsid w:val="72591CA9"/>
    <w:multiLevelType w:val="multilevel"/>
    <w:tmpl w:val="CD4C98AE"/>
    <w:name w:val="PwCListBullets1"/>
    <w:styleLink w:val="PwCListBullets1"/>
    <w:lvl w:ilvl="0">
      <w:start w:val="1"/>
      <w:numFmt w:val="bullet"/>
      <w:pStyle w:val="a0"/>
      <w:lvlText w:val=""/>
      <w:lvlJc w:val="left"/>
      <w:pPr>
        <w:tabs>
          <w:tab w:val="num" w:pos="567"/>
        </w:tabs>
        <w:ind w:left="567" w:hanging="567"/>
      </w:pPr>
      <w:rPr>
        <w:rFonts w:ascii="Symbol" w:hAnsi="Symbol" w:hint="default"/>
      </w:rPr>
    </w:lvl>
    <w:lvl w:ilvl="1">
      <w:start w:val="1"/>
      <w:numFmt w:val="bullet"/>
      <w:pStyle w:val="20"/>
      <w:lvlText w:val=""/>
      <w:lvlJc w:val="left"/>
      <w:pPr>
        <w:tabs>
          <w:tab w:val="num" w:pos="1134"/>
        </w:tabs>
        <w:ind w:left="1134" w:hanging="567"/>
      </w:pPr>
      <w:rPr>
        <w:rFonts w:ascii="Symbol" w:hAnsi="Symbol" w:hint="default"/>
      </w:rPr>
    </w:lvl>
    <w:lvl w:ilvl="2">
      <w:start w:val="1"/>
      <w:numFmt w:val="bullet"/>
      <w:pStyle w:val="30"/>
      <w:lvlText w:val=""/>
      <w:lvlJc w:val="left"/>
      <w:pPr>
        <w:tabs>
          <w:tab w:val="num" w:pos="1701"/>
        </w:tabs>
        <w:ind w:left="1701" w:hanging="567"/>
      </w:pPr>
      <w:rPr>
        <w:rFonts w:ascii="Symbol" w:hAnsi="Symbol" w:hint="default"/>
      </w:rPr>
    </w:lvl>
    <w:lvl w:ilvl="3">
      <w:start w:val="1"/>
      <w:numFmt w:val="bullet"/>
      <w:pStyle w:val="40"/>
      <w:lvlText w:val=""/>
      <w:lvlJc w:val="left"/>
      <w:pPr>
        <w:tabs>
          <w:tab w:val="num" w:pos="2268"/>
        </w:tabs>
        <w:ind w:left="2268" w:hanging="567"/>
      </w:pPr>
      <w:rPr>
        <w:rFonts w:ascii="Symbol" w:hAnsi="Symbol" w:hint="default"/>
      </w:rPr>
    </w:lvl>
    <w:lvl w:ilvl="4">
      <w:start w:val="1"/>
      <w:numFmt w:val="bullet"/>
      <w:pStyle w:val="50"/>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46">
    <w:nsid w:val="73513766"/>
    <w:multiLevelType w:val="hybridMultilevel"/>
    <w:tmpl w:val="F600F4F8"/>
    <w:lvl w:ilvl="0" w:tplc="11B816B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3DA3755"/>
    <w:multiLevelType w:val="hybridMultilevel"/>
    <w:tmpl w:val="D3504A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48F6DEA"/>
    <w:multiLevelType w:val="hybridMultilevel"/>
    <w:tmpl w:val="9F24D4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7066AB4"/>
    <w:multiLevelType w:val="hybridMultilevel"/>
    <w:tmpl w:val="8A08F2AC"/>
    <w:lvl w:ilvl="0" w:tplc="04090005">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50">
    <w:nsid w:val="7B967B38"/>
    <w:multiLevelType w:val="hybridMultilevel"/>
    <w:tmpl w:val="DA2C4F92"/>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8"/>
  </w:num>
  <w:num w:numId="3">
    <w:abstractNumId w:val="26"/>
  </w:num>
  <w:num w:numId="4">
    <w:abstractNumId w:val="47"/>
  </w:num>
  <w:num w:numId="5">
    <w:abstractNumId w:val="40"/>
  </w:num>
  <w:num w:numId="6">
    <w:abstractNumId w:val="38"/>
  </w:num>
  <w:num w:numId="7">
    <w:abstractNumId w:val="48"/>
  </w:num>
  <w:num w:numId="8">
    <w:abstractNumId w:val="43"/>
  </w:num>
  <w:num w:numId="9">
    <w:abstractNumId w:val="31"/>
  </w:num>
  <w:num w:numId="10">
    <w:abstractNumId w:val="14"/>
  </w:num>
  <w:num w:numId="11">
    <w:abstractNumId w:val="34"/>
  </w:num>
  <w:num w:numId="12">
    <w:abstractNumId w:val="13"/>
  </w:num>
  <w:num w:numId="13">
    <w:abstractNumId w:val="20"/>
  </w:num>
  <w:num w:numId="14">
    <w:abstractNumId w:val="23"/>
  </w:num>
  <w:num w:numId="15">
    <w:abstractNumId w:val="10"/>
  </w:num>
  <w:num w:numId="16">
    <w:abstractNumId w:val="44"/>
  </w:num>
  <w:num w:numId="17">
    <w:abstractNumId w:val="29"/>
  </w:num>
  <w:num w:numId="18">
    <w:abstractNumId w:val="7"/>
  </w:num>
  <w:num w:numId="19">
    <w:abstractNumId w:val="39"/>
  </w:num>
  <w:num w:numId="20">
    <w:abstractNumId w:val="9"/>
  </w:num>
  <w:num w:numId="21">
    <w:abstractNumId w:val="50"/>
  </w:num>
  <w:num w:numId="22">
    <w:abstractNumId w:val="33"/>
  </w:num>
  <w:num w:numId="23">
    <w:abstractNumId w:val="21"/>
  </w:num>
  <w:num w:numId="24">
    <w:abstractNumId w:val="17"/>
  </w:num>
  <w:num w:numId="25">
    <w:abstractNumId w:val="49"/>
  </w:num>
  <w:num w:numId="26">
    <w:abstractNumId w:val="22"/>
  </w:num>
  <w:num w:numId="27">
    <w:abstractNumId w:val="27"/>
  </w:num>
  <w:num w:numId="28">
    <w:abstractNumId w:val="32"/>
  </w:num>
  <w:num w:numId="29">
    <w:abstractNumId w:val="19"/>
  </w:num>
  <w:num w:numId="30">
    <w:abstractNumId w:val="30"/>
  </w:num>
  <w:num w:numId="31">
    <w:abstractNumId w:val="18"/>
  </w:num>
  <w:num w:numId="32">
    <w:abstractNumId w:val="36"/>
  </w:num>
  <w:num w:numId="33">
    <w:abstractNumId w:val="15"/>
  </w:num>
  <w:num w:numId="34">
    <w:abstractNumId w:val="6"/>
  </w:num>
  <w:num w:numId="35">
    <w:abstractNumId w:val="46"/>
  </w:num>
  <w:num w:numId="36">
    <w:abstractNumId w:val="28"/>
  </w:num>
  <w:num w:numId="37">
    <w:abstractNumId w:val="0"/>
  </w:num>
  <w:num w:numId="38">
    <w:abstractNumId w:val="1"/>
  </w:num>
  <w:num w:numId="39">
    <w:abstractNumId w:val="2"/>
  </w:num>
  <w:num w:numId="40">
    <w:abstractNumId w:val="3"/>
  </w:num>
  <w:num w:numId="41">
    <w:abstractNumId w:val="11"/>
  </w:num>
  <w:num w:numId="42">
    <w:abstractNumId w:val="42"/>
  </w:num>
  <w:num w:numId="43">
    <w:abstractNumId w:val="5"/>
  </w:num>
  <w:num w:numId="44">
    <w:abstractNumId w:val="25"/>
  </w:num>
  <w:num w:numId="45">
    <w:abstractNumId w:val="35"/>
  </w:num>
  <w:num w:numId="46">
    <w:abstractNumId w:val="41"/>
  </w:num>
  <w:num w:numId="47">
    <w:abstractNumId w:val="37"/>
  </w:num>
  <w:num w:numId="48">
    <w:abstractNumId w:val="24"/>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hideSpellingErrors/>
  <w:proofState w:spelling="clean" w:grammar="clean"/>
  <w:stylePaneFormatFilter w:val="1024"/>
  <w:stylePaneSortMethod w:val="0000"/>
  <w:trackRevisions/>
  <w:defaultTabStop w:val="720"/>
  <w:hyphenationZone w:val="425"/>
  <w:drawingGridHorizontalSpacing w:val="100"/>
  <w:displayHorizontalDrawingGridEvery w:val="2"/>
  <w:characterSpacingControl w:val="doNotCompress"/>
  <w:hdrShapeDefaults>
    <o:shapedefaults v:ext="edit" spidmax="108546"/>
  </w:hdrShapeDefaults>
  <w:footnotePr>
    <w:footnote w:id="-1"/>
    <w:footnote w:id="0"/>
  </w:footnotePr>
  <w:endnotePr>
    <w:endnote w:id="-1"/>
    <w:endnote w:id="0"/>
  </w:endnotePr>
  <w:compat/>
  <w:rsids>
    <w:rsidRoot w:val="003822F4"/>
    <w:rsid w:val="00007C5D"/>
    <w:rsid w:val="000237F0"/>
    <w:rsid w:val="00027F8D"/>
    <w:rsid w:val="0003151E"/>
    <w:rsid w:val="0003327E"/>
    <w:rsid w:val="000428B1"/>
    <w:rsid w:val="000469EB"/>
    <w:rsid w:val="00050262"/>
    <w:rsid w:val="00061ABC"/>
    <w:rsid w:val="00073DF0"/>
    <w:rsid w:val="000843E1"/>
    <w:rsid w:val="0008695A"/>
    <w:rsid w:val="00095599"/>
    <w:rsid w:val="000A3EFB"/>
    <w:rsid w:val="000A4B34"/>
    <w:rsid w:val="000B4D3E"/>
    <w:rsid w:val="000B5E75"/>
    <w:rsid w:val="000C21B2"/>
    <w:rsid w:val="000C2F9F"/>
    <w:rsid w:val="000D52D5"/>
    <w:rsid w:val="000F0B73"/>
    <w:rsid w:val="000F1F30"/>
    <w:rsid w:val="000F2A35"/>
    <w:rsid w:val="000F380D"/>
    <w:rsid w:val="000F74E9"/>
    <w:rsid w:val="00106DDD"/>
    <w:rsid w:val="00111D71"/>
    <w:rsid w:val="00112A82"/>
    <w:rsid w:val="00116CA9"/>
    <w:rsid w:val="001301A6"/>
    <w:rsid w:val="001331E0"/>
    <w:rsid w:val="00144A49"/>
    <w:rsid w:val="001537C9"/>
    <w:rsid w:val="0016111C"/>
    <w:rsid w:val="001622A2"/>
    <w:rsid w:val="001658FF"/>
    <w:rsid w:val="0017733A"/>
    <w:rsid w:val="00182B7B"/>
    <w:rsid w:val="00186AB0"/>
    <w:rsid w:val="00195370"/>
    <w:rsid w:val="001A233F"/>
    <w:rsid w:val="001A4A30"/>
    <w:rsid w:val="001B1C1C"/>
    <w:rsid w:val="001C3C77"/>
    <w:rsid w:val="001D2950"/>
    <w:rsid w:val="001F1403"/>
    <w:rsid w:val="001F292B"/>
    <w:rsid w:val="001F6166"/>
    <w:rsid w:val="00207DBB"/>
    <w:rsid w:val="002106E2"/>
    <w:rsid w:val="00216120"/>
    <w:rsid w:val="0023194A"/>
    <w:rsid w:val="0024431B"/>
    <w:rsid w:val="0025073D"/>
    <w:rsid w:val="002521F4"/>
    <w:rsid w:val="002622E7"/>
    <w:rsid w:val="00264F1C"/>
    <w:rsid w:val="002663C1"/>
    <w:rsid w:val="00275D42"/>
    <w:rsid w:val="00293D84"/>
    <w:rsid w:val="00293D86"/>
    <w:rsid w:val="0029792B"/>
    <w:rsid w:val="002A3F6B"/>
    <w:rsid w:val="002B734C"/>
    <w:rsid w:val="002C0528"/>
    <w:rsid w:val="002D3B5E"/>
    <w:rsid w:val="002D7654"/>
    <w:rsid w:val="002D79B9"/>
    <w:rsid w:val="002D7E61"/>
    <w:rsid w:val="002E0F56"/>
    <w:rsid w:val="002E3EE4"/>
    <w:rsid w:val="002E5486"/>
    <w:rsid w:val="002F1720"/>
    <w:rsid w:val="002F45C6"/>
    <w:rsid w:val="00302E76"/>
    <w:rsid w:val="003228B3"/>
    <w:rsid w:val="00330BBE"/>
    <w:rsid w:val="00343A7F"/>
    <w:rsid w:val="00354DD9"/>
    <w:rsid w:val="003706E0"/>
    <w:rsid w:val="0037451D"/>
    <w:rsid w:val="003763DF"/>
    <w:rsid w:val="003822F4"/>
    <w:rsid w:val="003837EE"/>
    <w:rsid w:val="003845E7"/>
    <w:rsid w:val="00390B9B"/>
    <w:rsid w:val="00393031"/>
    <w:rsid w:val="00394ECE"/>
    <w:rsid w:val="00395E35"/>
    <w:rsid w:val="003A394A"/>
    <w:rsid w:val="003A3CA8"/>
    <w:rsid w:val="003A616C"/>
    <w:rsid w:val="003B1320"/>
    <w:rsid w:val="003C6043"/>
    <w:rsid w:val="003D72C6"/>
    <w:rsid w:val="003F0A85"/>
    <w:rsid w:val="003F4041"/>
    <w:rsid w:val="003F58FD"/>
    <w:rsid w:val="003F71DC"/>
    <w:rsid w:val="003F7C31"/>
    <w:rsid w:val="00404012"/>
    <w:rsid w:val="00404348"/>
    <w:rsid w:val="00424BB6"/>
    <w:rsid w:val="00425CD0"/>
    <w:rsid w:val="004263A6"/>
    <w:rsid w:val="00431710"/>
    <w:rsid w:val="00431E18"/>
    <w:rsid w:val="004363E8"/>
    <w:rsid w:val="004471BC"/>
    <w:rsid w:val="00457B2D"/>
    <w:rsid w:val="00463E66"/>
    <w:rsid w:val="00464A7A"/>
    <w:rsid w:val="00467D76"/>
    <w:rsid w:val="00474088"/>
    <w:rsid w:val="0047558C"/>
    <w:rsid w:val="00475862"/>
    <w:rsid w:val="0048003F"/>
    <w:rsid w:val="00486311"/>
    <w:rsid w:val="004877E2"/>
    <w:rsid w:val="004972A4"/>
    <w:rsid w:val="004A00F2"/>
    <w:rsid w:val="004D267F"/>
    <w:rsid w:val="004D7612"/>
    <w:rsid w:val="004E7078"/>
    <w:rsid w:val="004F0CBF"/>
    <w:rsid w:val="004F1DFD"/>
    <w:rsid w:val="00504A5A"/>
    <w:rsid w:val="00522099"/>
    <w:rsid w:val="00527745"/>
    <w:rsid w:val="0053530E"/>
    <w:rsid w:val="00547535"/>
    <w:rsid w:val="0054793C"/>
    <w:rsid w:val="00550E58"/>
    <w:rsid w:val="00555C6B"/>
    <w:rsid w:val="005708D3"/>
    <w:rsid w:val="00570E70"/>
    <w:rsid w:val="00571183"/>
    <w:rsid w:val="005737D9"/>
    <w:rsid w:val="00594C1A"/>
    <w:rsid w:val="00596AF3"/>
    <w:rsid w:val="005A27C1"/>
    <w:rsid w:val="005A2C1A"/>
    <w:rsid w:val="005A40F7"/>
    <w:rsid w:val="005A6470"/>
    <w:rsid w:val="005B2073"/>
    <w:rsid w:val="005C3652"/>
    <w:rsid w:val="005D01F1"/>
    <w:rsid w:val="005D118B"/>
    <w:rsid w:val="005D338E"/>
    <w:rsid w:val="005D449D"/>
    <w:rsid w:val="005E0339"/>
    <w:rsid w:val="005E2A9F"/>
    <w:rsid w:val="005F2A97"/>
    <w:rsid w:val="005F31DE"/>
    <w:rsid w:val="005F33F7"/>
    <w:rsid w:val="005F55F7"/>
    <w:rsid w:val="00601CFC"/>
    <w:rsid w:val="006116C2"/>
    <w:rsid w:val="00623BB6"/>
    <w:rsid w:val="006265AA"/>
    <w:rsid w:val="00640DF0"/>
    <w:rsid w:val="00642CA5"/>
    <w:rsid w:val="006510D5"/>
    <w:rsid w:val="0065346B"/>
    <w:rsid w:val="00653E8F"/>
    <w:rsid w:val="00655D7A"/>
    <w:rsid w:val="00657345"/>
    <w:rsid w:val="0066491F"/>
    <w:rsid w:val="00672267"/>
    <w:rsid w:val="00672801"/>
    <w:rsid w:val="00680CB3"/>
    <w:rsid w:val="0069700B"/>
    <w:rsid w:val="006A476B"/>
    <w:rsid w:val="006A6BCE"/>
    <w:rsid w:val="006A6F97"/>
    <w:rsid w:val="006B02CC"/>
    <w:rsid w:val="006B0B07"/>
    <w:rsid w:val="006B7EF5"/>
    <w:rsid w:val="006C1FCB"/>
    <w:rsid w:val="006D30BB"/>
    <w:rsid w:val="006E6E07"/>
    <w:rsid w:val="006E7428"/>
    <w:rsid w:val="00704866"/>
    <w:rsid w:val="0070763B"/>
    <w:rsid w:val="00707B4A"/>
    <w:rsid w:val="00711F6D"/>
    <w:rsid w:val="0071227B"/>
    <w:rsid w:val="00712C41"/>
    <w:rsid w:val="007255B2"/>
    <w:rsid w:val="00740152"/>
    <w:rsid w:val="00757751"/>
    <w:rsid w:val="007601FE"/>
    <w:rsid w:val="00775C49"/>
    <w:rsid w:val="007823EF"/>
    <w:rsid w:val="00783622"/>
    <w:rsid w:val="0079053A"/>
    <w:rsid w:val="00790DFD"/>
    <w:rsid w:val="0079215D"/>
    <w:rsid w:val="00794812"/>
    <w:rsid w:val="007A1588"/>
    <w:rsid w:val="007A2AE3"/>
    <w:rsid w:val="007A4667"/>
    <w:rsid w:val="007A798A"/>
    <w:rsid w:val="007B0DC1"/>
    <w:rsid w:val="007B61AD"/>
    <w:rsid w:val="007C1260"/>
    <w:rsid w:val="007D0ED1"/>
    <w:rsid w:val="007E4628"/>
    <w:rsid w:val="007E67D3"/>
    <w:rsid w:val="007F3AE0"/>
    <w:rsid w:val="007F3B12"/>
    <w:rsid w:val="007F64F8"/>
    <w:rsid w:val="00802F04"/>
    <w:rsid w:val="00804ABC"/>
    <w:rsid w:val="008063A9"/>
    <w:rsid w:val="0081581E"/>
    <w:rsid w:val="0082501D"/>
    <w:rsid w:val="0083047E"/>
    <w:rsid w:val="00832607"/>
    <w:rsid w:val="00834B90"/>
    <w:rsid w:val="008352C7"/>
    <w:rsid w:val="00836C84"/>
    <w:rsid w:val="00846261"/>
    <w:rsid w:val="00851D26"/>
    <w:rsid w:val="00870214"/>
    <w:rsid w:val="00875777"/>
    <w:rsid w:val="008766BB"/>
    <w:rsid w:val="008871CA"/>
    <w:rsid w:val="008933B3"/>
    <w:rsid w:val="00894CFD"/>
    <w:rsid w:val="00894E50"/>
    <w:rsid w:val="008A0186"/>
    <w:rsid w:val="008A1E56"/>
    <w:rsid w:val="008B28EA"/>
    <w:rsid w:val="008B4C74"/>
    <w:rsid w:val="008C209A"/>
    <w:rsid w:val="008C214C"/>
    <w:rsid w:val="008C38DF"/>
    <w:rsid w:val="008C392D"/>
    <w:rsid w:val="008C5F1A"/>
    <w:rsid w:val="008D40F9"/>
    <w:rsid w:val="008E2041"/>
    <w:rsid w:val="008F349A"/>
    <w:rsid w:val="008F4141"/>
    <w:rsid w:val="008F4D8F"/>
    <w:rsid w:val="009004F3"/>
    <w:rsid w:val="009016CA"/>
    <w:rsid w:val="00902290"/>
    <w:rsid w:val="00903A06"/>
    <w:rsid w:val="009044CA"/>
    <w:rsid w:val="00912541"/>
    <w:rsid w:val="009266D1"/>
    <w:rsid w:val="00927674"/>
    <w:rsid w:val="00927AD4"/>
    <w:rsid w:val="0093383F"/>
    <w:rsid w:val="00933B85"/>
    <w:rsid w:val="009379D3"/>
    <w:rsid w:val="00942980"/>
    <w:rsid w:val="00944681"/>
    <w:rsid w:val="0095175B"/>
    <w:rsid w:val="00960722"/>
    <w:rsid w:val="00960A46"/>
    <w:rsid w:val="00984B38"/>
    <w:rsid w:val="009854CB"/>
    <w:rsid w:val="009B33C0"/>
    <w:rsid w:val="009B6198"/>
    <w:rsid w:val="009C5BBE"/>
    <w:rsid w:val="009C74BB"/>
    <w:rsid w:val="009C7ECD"/>
    <w:rsid w:val="009D0CDE"/>
    <w:rsid w:val="009D2476"/>
    <w:rsid w:val="009D7B16"/>
    <w:rsid w:val="009E2196"/>
    <w:rsid w:val="009F1455"/>
    <w:rsid w:val="009F5522"/>
    <w:rsid w:val="00A20E59"/>
    <w:rsid w:val="00A23652"/>
    <w:rsid w:val="00A262D6"/>
    <w:rsid w:val="00A27EAA"/>
    <w:rsid w:val="00A30CA5"/>
    <w:rsid w:val="00A40C0B"/>
    <w:rsid w:val="00A448CF"/>
    <w:rsid w:val="00A52696"/>
    <w:rsid w:val="00A567D8"/>
    <w:rsid w:val="00A628A3"/>
    <w:rsid w:val="00A65472"/>
    <w:rsid w:val="00A76A44"/>
    <w:rsid w:val="00A833DA"/>
    <w:rsid w:val="00A863FA"/>
    <w:rsid w:val="00A91209"/>
    <w:rsid w:val="00A962F8"/>
    <w:rsid w:val="00AA0E59"/>
    <w:rsid w:val="00AA1710"/>
    <w:rsid w:val="00AB4012"/>
    <w:rsid w:val="00AC5AEB"/>
    <w:rsid w:val="00AC5E16"/>
    <w:rsid w:val="00AD717D"/>
    <w:rsid w:val="00AF45D6"/>
    <w:rsid w:val="00AF7258"/>
    <w:rsid w:val="00B015DE"/>
    <w:rsid w:val="00B05BC3"/>
    <w:rsid w:val="00B07EFA"/>
    <w:rsid w:val="00B21A8B"/>
    <w:rsid w:val="00B34DF4"/>
    <w:rsid w:val="00B37AF1"/>
    <w:rsid w:val="00B4653F"/>
    <w:rsid w:val="00B57C26"/>
    <w:rsid w:val="00B62866"/>
    <w:rsid w:val="00B740DF"/>
    <w:rsid w:val="00B85739"/>
    <w:rsid w:val="00B90E26"/>
    <w:rsid w:val="00B9164D"/>
    <w:rsid w:val="00B91A8F"/>
    <w:rsid w:val="00BA5CC0"/>
    <w:rsid w:val="00BB3E6E"/>
    <w:rsid w:val="00BC0D2F"/>
    <w:rsid w:val="00BC4AB3"/>
    <w:rsid w:val="00BD065E"/>
    <w:rsid w:val="00BD5762"/>
    <w:rsid w:val="00BE591C"/>
    <w:rsid w:val="00BF073A"/>
    <w:rsid w:val="00BF45DE"/>
    <w:rsid w:val="00C00DEE"/>
    <w:rsid w:val="00C042B2"/>
    <w:rsid w:val="00C2779A"/>
    <w:rsid w:val="00C31420"/>
    <w:rsid w:val="00C37C35"/>
    <w:rsid w:val="00C41940"/>
    <w:rsid w:val="00C441E3"/>
    <w:rsid w:val="00C50886"/>
    <w:rsid w:val="00C54172"/>
    <w:rsid w:val="00C81E91"/>
    <w:rsid w:val="00C83CA8"/>
    <w:rsid w:val="00C91DEF"/>
    <w:rsid w:val="00C930B3"/>
    <w:rsid w:val="00C93D1F"/>
    <w:rsid w:val="00C94BB4"/>
    <w:rsid w:val="00CA0143"/>
    <w:rsid w:val="00CA0BDC"/>
    <w:rsid w:val="00CA3779"/>
    <w:rsid w:val="00CA61F7"/>
    <w:rsid w:val="00CB107E"/>
    <w:rsid w:val="00CC7869"/>
    <w:rsid w:val="00CE00DA"/>
    <w:rsid w:val="00CE25D7"/>
    <w:rsid w:val="00CE45E2"/>
    <w:rsid w:val="00CE533B"/>
    <w:rsid w:val="00CE53B6"/>
    <w:rsid w:val="00CF583F"/>
    <w:rsid w:val="00D042E5"/>
    <w:rsid w:val="00D06E8A"/>
    <w:rsid w:val="00D104C7"/>
    <w:rsid w:val="00D1138C"/>
    <w:rsid w:val="00D12519"/>
    <w:rsid w:val="00D31CA7"/>
    <w:rsid w:val="00D40319"/>
    <w:rsid w:val="00D51FC0"/>
    <w:rsid w:val="00D5578F"/>
    <w:rsid w:val="00D57DA7"/>
    <w:rsid w:val="00D6051E"/>
    <w:rsid w:val="00D61C7F"/>
    <w:rsid w:val="00D66CC8"/>
    <w:rsid w:val="00D977B5"/>
    <w:rsid w:val="00DB5EB1"/>
    <w:rsid w:val="00DC29D1"/>
    <w:rsid w:val="00DD5D13"/>
    <w:rsid w:val="00DE75E8"/>
    <w:rsid w:val="00DF3186"/>
    <w:rsid w:val="00DF393A"/>
    <w:rsid w:val="00DF4210"/>
    <w:rsid w:val="00DF4E3E"/>
    <w:rsid w:val="00E00F89"/>
    <w:rsid w:val="00E1269E"/>
    <w:rsid w:val="00E130B8"/>
    <w:rsid w:val="00E247C2"/>
    <w:rsid w:val="00E30983"/>
    <w:rsid w:val="00E328FF"/>
    <w:rsid w:val="00E34856"/>
    <w:rsid w:val="00E36AA0"/>
    <w:rsid w:val="00E4027D"/>
    <w:rsid w:val="00E4534C"/>
    <w:rsid w:val="00E47E93"/>
    <w:rsid w:val="00E51F01"/>
    <w:rsid w:val="00E54BBD"/>
    <w:rsid w:val="00E57F78"/>
    <w:rsid w:val="00E62EFD"/>
    <w:rsid w:val="00E66320"/>
    <w:rsid w:val="00E67822"/>
    <w:rsid w:val="00E67BF9"/>
    <w:rsid w:val="00E7789A"/>
    <w:rsid w:val="00E80808"/>
    <w:rsid w:val="00E80C8A"/>
    <w:rsid w:val="00E841A9"/>
    <w:rsid w:val="00E86AF5"/>
    <w:rsid w:val="00E91D48"/>
    <w:rsid w:val="00E937A7"/>
    <w:rsid w:val="00EA27FE"/>
    <w:rsid w:val="00EA4574"/>
    <w:rsid w:val="00EA6D9F"/>
    <w:rsid w:val="00EB0F74"/>
    <w:rsid w:val="00EB1F24"/>
    <w:rsid w:val="00EB2ABF"/>
    <w:rsid w:val="00EC6C34"/>
    <w:rsid w:val="00ED35A3"/>
    <w:rsid w:val="00ED4DEE"/>
    <w:rsid w:val="00ED5E54"/>
    <w:rsid w:val="00ED7DFA"/>
    <w:rsid w:val="00EE35E5"/>
    <w:rsid w:val="00EE5E99"/>
    <w:rsid w:val="00EF17F5"/>
    <w:rsid w:val="00EF20C0"/>
    <w:rsid w:val="00EF2314"/>
    <w:rsid w:val="00F07750"/>
    <w:rsid w:val="00F26F1F"/>
    <w:rsid w:val="00F4288D"/>
    <w:rsid w:val="00F45F0F"/>
    <w:rsid w:val="00F46CED"/>
    <w:rsid w:val="00F52052"/>
    <w:rsid w:val="00F6795E"/>
    <w:rsid w:val="00F7046B"/>
    <w:rsid w:val="00F75B8D"/>
    <w:rsid w:val="00F873C6"/>
    <w:rsid w:val="00FA7C67"/>
    <w:rsid w:val="00FB6EA9"/>
    <w:rsid w:val="00FB75EB"/>
    <w:rsid w:val="00FC1467"/>
    <w:rsid w:val="00FC1961"/>
    <w:rsid w:val="00FD0574"/>
    <w:rsid w:val="00FD0AFA"/>
    <w:rsid w:val="00FD402B"/>
    <w:rsid w:val="00FD4438"/>
    <w:rsid w:val="00FE3291"/>
    <w:rsid w:val="00FE3F05"/>
    <w:rsid w:val="00FE41DD"/>
    <w:rsid w:val="00FE6DB7"/>
    <w:rsid w:val="00FF1474"/>
    <w:rsid w:val="00FF2828"/>
    <w:rsid w:val="00FF3D38"/>
    <w:rsid w:val="00FF5ABA"/>
    <w:rsid w:val="00FF6193"/>
    <w:rsid w:val="00FF7193"/>
    <w:rsid w:val="00FF7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qFormat="1"/>
    <w:lsdException w:name="List Number" w:qFormat="1"/>
    <w:lsdException w:name="List Bullet 2" w:qFormat="1"/>
    <w:lsdException w:name="List Bullet 3" w:qFormat="1"/>
    <w:lsdException w:name="List Number 2" w:qFormat="1"/>
    <w:lsdException w:name="List Number 3" w:qFormat="1"/>
    <w:lsdException w:name="Title" w:semiHidden="0" w:uiPriority="10" w:unhideWhenUsed="0" w:qFormat="1"/>
    <w:lsdException w:name="Default Paragraph Font" w:uiPriority="1"/>
    <w:lsdException w:name="Body Text" w:uiPriority="0" w:qFormat="1"/>
    <w:lsdException w:name="List Continue" w:qFormat="1"/>
    <w:lsdException w:name="List Continue 2" w:qFormat="1"/>
    <w:lsdException w:name="List Continue 3"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a1">
    <w:name w:val="Normal"/>
    <w:uiPriority w:val="99"/>
    <w:qFormat/>
    <w:rsid w:val="00B91A8F"/>
  </w:style>
  <w:style w:type="paragraph" w:styleId="1">
    <w:name w:val="heading 1"/>
    <w:basedOn w:val="a1"/>
    <w:next w:val="a2"/>
    <w:link w:val="10"/>
    <w:uiPriority w:val="9"/>
    <w:qFormat/>
    <w:rsid w:val="00B91A8F"/>
    <w:pPr>
      <w:keepNext/>
      <w:keepLines/>
      <w:spacing w:after="40" w:line="240" w:lineRule="auto"/>
      <w:outlineLvl w:val="0"/>
    </w:pPr>
    <w:rPr>
      <w:rFonts w:asciiTheme="majorHAnsi" w:eastAsiaTheme="majorEastAsia" w:hAnsiTheme="majorHAnsi" w:cstheme="majorBidi"/>
      <w:b/>
      <w:bCs/>
      <w:i/>
      <w:sz w:val="32"/>
      <w:szCs w:val="28"/>
    </w:rPr>
  </w:style>
  <w:style w:type="paragraph" w:styleId="21">
    <w:name w:val="heading 2"/>
    <w:basedOn w:val="a1"/>
    <w:next w:val="a2"/>
    <w:link w:val="22"/>
    <w:uiPriority w:val="9"/>
    <w:unhideWhenUsed/>
    <w:qFormat/>
    <w:rsid w:val="00B91A8F"/>
    <w:pPr>
      <w:keepNext/>
      <w:keepLines/>
      <w:spacing w:after="40" w:line="240" w:lineRule="auto"/>
      <w:outlineLvl w:val="1"/>
    </w:pPr>
    <w:rPr>
      <w:rFonts w:asciiTheme="majorHAnsi" w:eastAsiaTheme="majorEastAsia" w:hAnsiTheme="majorHAnsi" w:cstheme="majorBidi"/>
      <w:b/>
      <w:bCs/>
      <w:i/>
      <w:sz w:val="24"/>
      <w:szCs w:val="26"/>
    </w:rPr>
  </w:style>
  <w:style w:type="paragraph" w:styleId="31">
    <w:name w:val="heading 3"/>
    <w:basedOn w:val="a1"/>
    <w:next w:val="a2"/>
    <w:link w:val="32"/>
    <w:uiPriority w:val="9"/>
    <w:unhideWhenUsed/>
    <w:qFormat/>
    <w:rsid w:val="00B91A8F"/>
    <w:pPr>
      <w:keepNext/>
      <w:keepLines/>
      <w:spacing w:after="40" w:line="240" w:lineRule="auto"/>
      <w:outlineLvl w:val="2"/>
    </w:pPr>
    <w:rPr>
      <w:rFonts w:asciiTheme="majorHAnsi" w:eastAsiaTheme="majorEastAsia" w:hAnsiTheme="majorHAnsi" w:cstheme="majorBidi"/>
      <w:bCs/>
      <w:i/>
      <w:sz w:val="24"/>
    </w:rPr>
  </w:style>
  <w:style w:type="paragraph" w:styleId="41">
    <w:name w:val="heading 4"/>
    <w:basedOn w:val="a1"/>
    <w:next w:val="a2"/>
    <w:link w:val="42"/>
    <w:uiPriority w:val="9"/>
    <w:unhideWhenUsed/>
    <w:qFormat/>
    <w:rsid w:val="00B91A8F"/>
    <w:pPr>
      <w:keepNext/>
      <w:keepLines/>
      <w:spacing w:after="40" w:line="240" w:lineRule="auto"/>
      <w:outlineLvl w:val="3"/>
    </w:pPr>
    <w:rPr>
      <w:rFonts w:asciiTheme="majorHAnsi" w:eastAsiaTheme="majorEastAsia" w:hAnsiTheme="majorHAnsi" w:cstheme="majorBidi"/>
      <w:bCs/>
      <w:i/>
      <w:iCs/>
    </w:rPr>
  </w:style>
  <w:style w:type="paragraph" w:styleId="51">
    <w:name w:val="heading 5"/>
    <w:basedOn w:val="a1"/>
    <w:next w:val="a2"/>
    <w:link w:val="52"/>
    <w:uiPriority w:val="9"/>
    <w:unhideWhenUsed/>
    <w:qFormat/>
    <w:rsid w:val="00B91A8F"/>
    <w:pPr>
      <w:keepNext/>
      <w:keepLines/>
      <w:spacing w:after="40" w:line="240" w:lineRule="auto"/>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B91A8F"/>
    <w:pPr>
      <w:keepNext/>
      <w:keepLines/>
      <w:spacing w:after="40" w:line="240" w:lineRule="auto"/>
      <w:outlineLvl w:val="5"/>
    </w:pPr>
    <w:rPr>
      <w:rFonts w:asciiTheme="majorHAnsi" w:eastAsiaTheme="majorEastAsia" w:hAnsiTheme="majorHAnsi" w:cstheme="majorBidi"/>
      <w:iCs/>
    </w:rPr>
  </w:style>
  <w:style w:type="paragraph" w:styleId="7">
    <w:name w:val="heading 7"/>
    <w:basedOn w:val="a1"/>
    <w:next w:val="a1"/>
    <w:link w:val="70"/>
    <w:uiPriority w:val="9"/>
    <w:semiHidden/>
    <w:unhideWhenUsed/>
    <w:qFormat/>
    <w:rsid w:val="00B91A8F"/>
    <w:pPr>
      <w:keepNext/>
      <w:keepLines/>
      <w:spacing w:after="40" w:line="240" w:lineRule="auto"/>
      <w:outlineLvl w:val="6"/>
    </w:pPr>
    <w:rPr>
      <w:rFonts w:asciiTheme="majorHAnsi" w:eastAsiaTheme="majorEastAsia" w:hAnsiTheme="majorHAnsi" w:cstheme="majorBidi"/>
      <w:iCs/>
    </w:rPr>
  </w:style>
  <w:style w:type="paragraph" w:styleId="8">
    <w:name w:val="heading 8"/>
    <w:basedOn w:val="a1"/>
    <w:next w:val="a1"/>
    <w:link w:val="80"/>
    <w:uiPriority w:val="9"/>
    <w:semiHidden/>
    <w:unhideWhenUsed/>
    <w:qFormat/>
    <w:rsid w:val="00B91A8F"/>
    <w:pPr>
      <w:keepNext/>
      <w:keepLines/>
      <w:spacing w:after="40" w:line="240" w:lineRule="auto"/>
      <w:outlineLvl w:val="7"/>
    </w:pPr>
    <w:rPr>
      <w:rFonts w:asciiTheme="majorHAnsi" w:eastAsiaTheme="majorEastAsia" w:hAnsiTheme="majorHAnsi" w:cstheme="majorBidi"/>
    </w:rPr>
  </w:style>
  <w:style w:type="paragraph" w:styleId="9">
    <w:name w:val="heading 9"/>
    <w:basedOn w:val="a1"/>
    <w:next w:val="a1"/>
    <w:link w:val="90"/>
    <w:uiPriority w:val="9"/>
    <w:semiHidden/>
    <w:unhideWhenUsed/>
    <w:qFormat/>
    <w:rsid w:val="00B91A8F"/>
    <w:pPr>
      <w:keepNext/>
      <w:keepLines/>
      <w:spacing w:after="40" w:line="240" w:lineRule="auto"/>
      <w:outlineLvl w:val="8"/>
    </w:pPr>
    <w:rPr>
      <w:rFonts w:asciiTheme="majorHAnsi" w:eastAsiaTheme="majorEastAsia" w:hAnsiTheme="majorHAnsi" w:cstheme="majorBidi"/>
      <w:iC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a6"/>
    <w:unhideWhenUsed/>
    <w:qFormat/>
    <w:rsid w:val="00B91A8F"/>
  </w:style>
  <w:style w:type="character" w:customStyle="1" w:styleId="a6">
    <w:name w:val="Основной текст Знак"/>
    <w:basedOn w:val="a3"/>
    <w:link w:val="a2"/>
    <w:rsid w:val="00B91A8F"/>
  </w:style>
  <w:style w:type="paragraph" w:customStyle="1" w:styleId="BodySingle">
    <w:name w:val="Body Single"/>
    <w:basedOn w:val="a2"/>
    <w:link w:val="BodySingleChar"/>
    <w:qFormat/>
    <w:rsid w:val="00B91A8F"/>
    <w:pPr>
      <w:spacing w:after="0"/>
    </w:pPr>
  </w:style>
  <w:style w:type="paragraph" w:styleId="a7">
    <w:name w:val="header"/>
    <w:basedOn w:val="a1"/>
    <w:link w:val="a8"/>
    <w:uiPriority w:val="99"/>
    <w:unhideWhenUsed/>
    <w:rsid w:val="00B91A8F"/>
    <w:pPr>
      <w:tabs>
        <w:tab w:val="center" w:pos="4536"/>
        <w:tab w:val="right" w:pos="9866"/>
      </w:tabs>
      <w:spacing w:after="0" w:line="240" w:lineRule="auto"/>
    </w:pPr>
    <w:rPr>
      <w:rFonts w:asciiTheme="minorHAnsi" w:hAnsiTheme="minorHAnsi"/>
      <w:sz w:val="18"/>
    </w:rPr>
  </w:style>
  <w:style w:type="character" w:customStyle="1" w:styleId="BodySingleChar">
    <w:name w:val="Body Single Char"/>
    <w:basedOn w:val="a6"/>
    <w:link w:val="BodySingle"/>
    <w:uiPriority w:val="1"/>
    <w:rsid w:val="00B91A8F"/>
  </w:style>
  <w:style w:type="character" w:customStyle="1" w:styleId="a8">
    <w:name w:val="Верхний колонтитул Знак"/>
    <w:basedOn w:val="a3"/>
    <w:link w:val="a7"/>
    <w:uiPriority w:val="99"/>
    <w:rsid w:val="00B91A8F"/>
    <w:rPr>
      <w:rFonts w:asciiTheme="minorHAnsi" w:hAnsiTheme="minorHAnsi"/>
      <w:sz w:val="18"/>
    </w:rPr>
  </w:style>
  <w:style w:type="paragraph" w:styleId="a9">
    <w:name w:val="footer"/>
    <w:basedOn w:val="a1"/>
    <w:link w:val="aa"/>
    <w:uiPriority w:val="99"/>
    <w:semiHidden/>
    <w:unhideWhenUsed/>
    <w:rsid w:val="00B91A8F"/>
    <w:pPr>
      <w:tabs>
        <w:tab w:val="center" w:pos="4536"/>
        <w:tab w:val="right" w:pos="9866"/>
      </w:tabs>
      <w:spacing w:after="0" w:line="240" w:lineRule="auto"/>
    </w:pPr>
    <w:rPr>
      <w:rFonts w:asciiTheme="minorHAnsi" w:hAnsiTheme="minorHAnsi"/>
      <w:sz w:val="18"/>
    </w:rPr>
  </w:style>
  <w:style w:type="character" w:customStyle="1" w:styleId="aa">
    <w:name w:val="Нижний колонтитул Знак"/>
    <w:basedOn w:val="a3"/>
    <w:link w:val="a9"/>
    <w:uiPriority w:val="99"/>
    <w:semiHidden/>
    <w:rsid w:val="00B91A8F"/>
    <w:rPr>
      <w:rFonts w:asciiTheme="minorHAnsi" w:hAnsiTheme="minorHAnsi"/>
      <w:sz w:val="18"/>
    </w:rPr>
  </w:style>
  <w:style w:type="character" w:customStyle="1" w:styleId="10">
    <w:name w:val="Заголовок 1 Знак"/>
    <w:basedOn w:val="a3"/>
    <w:link w:val="1"/>
    <w:uiPriority w:val="9"/>
    <w:rsid w:val="00B91A8F"/>
    <w:rPr>
      <w:rFonts w:asciiTheme="majorHAnsi" w:eastAsiaTheme="majorEastAsia" w:hAnsiTheme="majorHAnsi" w:cstheme="majorBidi"/>
      <w:b/>
      <w:bCs/>
      <w:i/>
      <w:sz w:val="32"/>
      <w:szCs w:val="28"/>
    </w:rPr>
  </w:style>
  <w:style w:type="character" w:customStyle="1" w:styleId="22">
    <w:name w:val="Заголовок 2 Знак"/>
    <w:basedOn w:val="a3"/>
    <w:link w:val="21"/>
    <w:uiPriority w:val="9"/>
    <w:rsid w:val="00B91A8F"/>
    <w:rPr>
      <w:rFonts w:asciiTheme="majorHAnsi" w:eastAsiaTheme="majorEastAsia" w:hAnsiTheme="majorHAnsi" w:cstheme="majorBidi"/>
      <w:b/>
      <w:bCs/>
      <w:i/>
      <w:sz w:val="24"/>
      <w:szCs w:val="26"/>
    </w:rPr>
  </w:style>
  <w:style w:type="character" w:customStyle="1" w:styleId="32">
    <w:name w:val="Заголовок 3 Знак"/>
    <w:basedOn w:val="a3"/>
    <w:link w:val="31"/>
    <w:uiPriority w:val="9"/>
    <w:rsid w:val="00B91A8F"/>
    <w:rPr>
      <w:rFonts w:asciiTheme="majorHAnsi" w:eastAsiaTheme="majorEastAsia" w:hAnsiTheme="majorHAnsi" w:cstheme="majorBidi"/>
      <w:bCs/>
      <w:i/>
      <w:sz w:val="24"/>
    </w:rPr>
  </w:style>
  <w:style w:type="character" w:customStyle="1" w:styleId="42">
    <w:name w:val="Заголовок 4 Знак"/>
    <w:basedOn w:val="a3"/>
    <w:link w:val="41"/>
    <w:uiPriority w:val="9"/>
    <w:rsid w:val="00B91A8F"/>
    <w:rPr>
      <w:rFonts w:asciiTheme="majorHAnsi" w:eastAsiaTheme="majorEastAsia" w:hAnsiTheme="majorHAnsi" w:cstheme="majorBidi"/>
      <w:bCs/>
      <w:i/>
      <w:iCs/>
    </w:rPr>
  </w:style>
  <w:style w:type="character" w:customStyle="1" w:styleId="52">
    <w:name w:val="Заголовок 5 Знак"/>
    <w:basedOn w:val="a3"/>
    <w:link w:val="51"/>
    <w:uiPriority w:val="9"/>
    <w:rsid w:val="00B91A8F"/>
    <w:rPr>
      <w:rFonts w:asciiTheme="majorHAnsi" w:eastAsiaTheme="majorEastAsia" w:hAnsiTheme="majorHAnsi" w:cstheme="majorBidi"/>
    </w:rPr>
  </w:style>
  <w:style w:type="paragraph" w:styleId="ab">
    <w:name w:val="Title"/>
    <w:basedOn w:val="a1"/>
    <w:next w:val="ac"/>
    <w:link w:val="ad"/>
    <w:uiPriority w:val="10"/>
    <w:qFormat/>
    <w:rsid w:val="00B91A8F"/>
    <w:pPr>
      <w:spacing w:after="0" w:line="240" w:lineRule="auto"/>
    </w:pPr>
    <w:rPr>
      <w:rFonts w:asciiTheme="majorHAnsi" w:eastAsiaTheme="majorEastAsia" w:hAnsiTheme="majorHAnsi" w:cstheme="majorBidi"/>
      <w:b/>
      <w:i/>
      <w:spacing w:val="5"/>
      <w:kern w:val="28"/>
      <w:sz w:val="56"/>
      <w:szCs w:val="52"/>
    </w:rPr>
  </w:style>
  <w:style w:type="character" w:customStyle="1" w:styleId="ad">
    <w:name w:val="Название Знак"/>
    <w:basedOn w:val="a3"/>
    <w:link w:val="ab"/>
    <w:uiPriority w:val="10"/>
    <w:rsid w:val="00B91A8F"/>
    <w:rPr>
      <w:rFonts w:asciiTheme="majorHAnsi" w:eastAsiaTheme="majorEastAsia" w:hAnsiTheme="majorHAnsi" w:cstheme="majorBidi"/>
      <w:b/>
      <w:i/>
      <w:spacing w:val="5"/>
      <w:kern w:val="28"/>
      <w:sz w:val="56"/>
      <w:szCs w:val="52"/>
    </w:rPr>
  </w:style>
  <w:style w:type="paragraph" w:styleId="ae">
    <w:name w:val="TOC Heading"/>
    <w:basedOn w:val="1"/>
    <w:next w:val="a2"/>
    <w:uiPriority w:val="39"/>
    <w:unhideWhenUsed/>
    <w:qFormat/>
    <w:rsid w:val="00B91A8F"/>
    <w:pPr>
      <w:spacing w:before="480"/>
      <w:outlineLvl w:val="9"/>
    </w:pPr>
    <w:rPr>
      <w:lang w:val="en-US"/>
    </w:rPr>
  </w:style>
  <w:style w:type="paragraph" w:styleId="ac">
    <w:name w:val="Subtitle"/>
    <w:basedOn w:val="a1"/>
    <w:next w:val="a2"/>
    <w:link w:val="af"/>
    <w:uiPriority w:val="11"/>
    <w:qFormat/>
    <w:rsid w:val="00B91A8F"/>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af">
    <w:name w:val="Подзаголовок Знак"/>
    <w:basedOn w:val="a3"/>
    <w:link w:val="ac"/>
    <w:uiPriority w:val="11"/>
    <w:rsid w:val="00B91A8F"/>
    <w:rPr>
      <w:rFonts w:asciiTheme="majorHAnsi" w:eastAsiaTheme="majorEastAsia" w:hAnsiTheme="majorHAnsi" w:cstheme="majorBidi"/>
      <w:iCs/>
      <w:spacing w:val="15"/>
      <w:sz w:val="40"/>
      <w:szCs w:val="24"/>
    </w:rPr>
  </w:style>
  <w:style w:type="paragraph" w:styleId="11">
    <w:name w:val="toc 1"/>
    <w:basedOn w:val="a1"/>
    <w:next w:val="a1"/>
    <w:autoRedefine/>
    <w:uiPriority w:val="39"/>
    <w:unhideWhenUsed/>
    <w:rsid w:val="00B91A8F"/>
    <w:pPr>
      <w:spacing w:after="100"/>
    </w:pPr>
  </w:style>
  <w:style w:type="paragraph" w:styleId="23">
    <w:name w:val="toc 2"/>
    <w:basedOn w:val="a1"/>
    <w:next w:val="a1"/>
    <w:autoRedefine/>
    <w:uiPriority w:val="39"/>
    <w:unhideWhenUsed/>
    <w:rsid w:val="00B91A8F"/>
    <w:pPr>
      <w:spacing w:after="100"/>
      <w:ind w:left="200"/>
    </w:pPr>
  </w:style>
  <w:style w:type="paragraph" w:styleId="33">
    <w:name w:val="toc 3"/>
    <w:basedOn w:val="a1"/>
    <w:next w:val="a1"/>
    <w:autoRedefine/>
    <w:uiPriority w:val="39"/>
    <w:unhideWhenUsed/>
    <w:rsid w:val="00B91A8F"/>
    <w:pPr>
      <w:spacing w:after="100"/>
      <w:ind w:left="400"/>
    </w:pPr>
  </w:style>
  <w:style w:type="character" w:styleId="af0">
    <w:name w:val="Hyperlink"/>
    <w:basedOn w:val="a3"/>
    <w:uiPriority w:val="99"/>
    <w:unhideWhenUsed/>
    <w:rsid w:val="00B91A8F"/>
    <w:rPr>
      <w:color w:val="0000FF" w:themeColor="hyperlink"/>
      <w:u w:val="single"/>
    </w:rPr>
  </w:style>
  <w:style w:type="paragraph" w:styleId="af1">
    <w:name w:val="Balloon Text"/>
    <w:basedOn w:val="a1"/>
    <w:link w:val="af2"/>
    <w:semiHidden/>
    <w:unhideWhenUsed/>
    <w:rsid w:val="00B91A8F"/>
    <w:pPr>
      <w:spacing w:after="0" w:line="240" w:lineRule="auto"/>
    </w:pPr>
    <w:rPr>
      <w:rFonts w:ascii="Tahoma" w:hAnsi="Tahoma" w:cs="Tahoma"/>
      <w:sz w:val="16"/>
      <w:szCs w:val="16"/>
    </w:rPr>
  </w:style>
  <w:style w:type="character" w:customStyle="1" w:styleId="af2">
    <w:name w:val="Текст выноски Знак"/>
    <w:basedOn w:val="a3"/>
    <w:link w:val="af1"/>
    <w:semiHidden/>
    <w:rsid w:val="00B91A8F"/>
    <w:rPr>
      <w:rFonts w:ascii="Tahoma" w:hAnsi="Tahoma" w:cs="Tahoma"/>
      <w:sz w:val="16"/>
      <w:szCs w:val="16"/>
    </w:rPr>
  </w:style>
  <w:style w:type="paragraph" w:styleId="a0">
    <w:name w:val="List Bullet"/>
    <w:basedOn w:val="a1"/>
    <w:uiPriority w:val="13"/>
    <w:unhideWhenUsed/>
    <w:qFormat/>
    <w:rsid w:val="00B91A8F"/>
    <w:pPr>
      <w:numPr>
        <w:numId w:val="1"/>
      </w:numPr>
      <w:contextualSpacing/>
    </w:pPr>
  </w:style>
  <w:style w:type="numbering" w:customStyle="1" w:styleId="PwCListBullets1">
    <w:name w:val="PwC List Bullets 1"/>
    <w:uiPriority w:val="99"/>
    <w:rsid w:val="00B91A8F"/>
    <w:pPr>
      <w:numPr>
        <w:numId w:val="1"/>
      </w:numPr>
    </w:pPr>
  </w:style>
  <w:style w:type="numbering" w:customStyle="1" w:styleId="PwCListNumbers1">
    <w:name w:val="PwC List Numbers 1"/>
    <w:uiPriority w:val="99"/>
    <w:rsid w:val="00B91A8F"/>
    <w:pPr>
      <w:numPr>
        <w:numId w:val="2"/>
      </w:numPr>
    </w:pPr>
  </w:style>
  <w:style w:type="paragraph" w:styleId="a">
    <w:name w:val="List Number"/>
    <w:basedOn w:val="a1"/>
    <w:uiPriority w:val="13"/>
    <w:unhideWhenUsed/>
    <w:qFormat/>
    <w:rsid w:val="00B91A8F"/>
    <w:pPr>
      <w:numPr>
        <w:numId w:val="3"/>
      </w:numPr>
      <w:contextualSpacing/>
    </w:pPr>
  </w:style>
  <w:style w:type="paragraph" w:styleId="20">
    <w:name w:val="List Bullet 2"/>
    <w:basedOn w:val="a1"/>
    <w:uiPriority w:val="13"/>
    <w:unhideWhenUsed/>
    <w:qFormat/>
    <w:rsid w:val="00B91A8F"/>
    <w:pPr>
      <w:numPr>
        <w:ilvl w:val="1"/>
        <w:numId w:val="1"/>
      </w:numPr>
      <w:contextualSpacing/>
    </w:pPr>
  </w:style>
  <w:style w:type="paragraph" w:styleId="30">
    <w:name w:val="List Bullet 3"/>
    <w:basedOn w:val="a1"/>
    <w:uiPriority w:val="13"/>
    <w:unhideWhenUsed/>
    <w:qFormat/>
    <w:rsid w:val="00B91A8F"/>
    <w:pPr>
      <w:numPr>
        <w:ilvl w:val="2"/>
        <w:numId w:val="1"/>
      </w:numPr>
      <w:contextualSpacing/>
    </w:pPr>
  </w:style>
  <w:style w:type="paragraph" w:styleId="40">
    <w:name w:val="List Bullet 4"/>
    <w:basedOn w:val="a1"/>
    <w:uiPriority w:val="13"/>
    <w:semiHidden/>
    <w:unhideWhenUsed/>
    <w:rsid w:val="00B91A8F"/>
    <w:pPr>
      <w:numPr>
        <w:ilvl w:val="3"/>
        <w:numId w:val="1"/>
      </w:numPr>
      <w:contextualSpacing/>
    </w:pPr>
  </w:style>
  <w:style w:type="paragraph" w:styleId="50">
    <w:name w:val="List Bullet 5"/>
    <w:basedOn w:val="a1"/>
    <w:uiPriority w:val="13"/>
    <w:semiHidden/>
    <w:unhideWhenUsed/>
    <w:rsid w:val="00B91A8F"/>
    <w:pPr>
      <w:numPr>
        <w:ilvl w:val="4"/>
        <w:numId w:val="1"/>
      </w:numPr>
      <w:contextualSpacing/>
    </w:pPr>
  </w:style>
  <w:style w:type="paragraph" w:styleId="2">
    <w:name w:val="List Number 2"/>
    <w:basedOn w:val="a1"/>
    <w:uiPriority w:val="13"/>
    <w:unhideWhenUsed/>
    <w:qFormat/>
    <w:rsid w:val="00B91A8F"/>
    <w:pPr>
      <w:numPr>
        <w:ilvl w:val="1"/>
        <w:numId w:val="3"/>
      </w:numPr>
      <w:contextualSpacing/>
    </w:pPr>
  </w:style>
  <w:style w:type="paragraph" w:styleId="3">
    <w:name w:val="List Number 3"/>
    <w:basedOn w:val="a1"/>
    <w:uiPriority w:val="13"/>
    <w:unhideWhenUsed/>
    <w:qFormat/>
    <w:rsid w:val="00B91A8F"/>
    <w:pPr>
      <w:numPr>
        <w:ilvl w:val="2"/>
        <w:numId w:val="3"/>
      </w:numPr>
      <w:contextualSpacing/>
    </w:pPr>
  </w:style>
  <w:style w:type="paragraph" w:styleId="4">
    <w:name w:val="List Number 4"/>
    <w:basedOn w:val="a1"/>
    <w:uiPriority w:val="13"/>
    <w:semiHidden/>
    <w:unhideWhenUsed/>
    <w:rsid w:val="00B91A8F"/>
    <w:pPr>
      <w:numPr>
        <w:ilvl w:val="3"/>
        <w:numId w:val="3"/>
      </w:numPr>
      <w:contextualSpacing/>
    </w:pPr>
  </w:style>
  <w:style w:type="paragraph" w:styleId="5">
    <w:name w:val="List Number 5"/>
    <w:basedOn w:val="a1"/>
    <w:uiPriority w:val="13"/>
    <w:semiHidden/>
    <w:unhideWhenUsed/>
    <w:rsid w:val="00B91A8F"/>
    <w:pPr>
      <w:numPr>
        <w:ilvl w:val="4"/>
        <w:numId w:val="3"/>
      </w:numPr>
      <w:contextualSpacing/>
    </w:pPr>
  </w:style>
  <w:style w:type="paragraph" w:styleId="af3">
    <w:name w:val="List"/>
    <w:basedOn w:val="a1"/>
    <w:uiPriority w:val="99"/>
    <w:semiHidden/>
    <w:unhideWhenUsed/>
    <w:rsid w:val="00B91A8F"/>
    <w:pPr>
      <w:ind w:left="567" w:hanging="567"/>
      <w:contextualSpacing/>
    </w:pPr>
  </w:style>
  <w:style w:type="paragraph" w:styleId="24">
    <w:name w:val="List 2"/>
    <w:basedOn w:val="a1"/>
    <w:uiPriority w:val="99"/>
    <w:semiHidden/>
    <w:unhideWhenUsed/>
    <w:rsid w:val="00B91A8F"/>
    <w:pPr>
      <w:ind w:left="1134" w:hanging="567"/>
      <w:contextualSpacing/>
    </w:pPr>
  </w:style>
  <w:style w:type="paragraph" w:styleId="af4">
    <w:name w:val="List Continue"/>
    <w:basedOn w:val="a1"/>
    <w:uiPriority w:val="14"/>
    <w:unhideWhenUsed/>
    <w:qFormat/>
    <w:rsid w:val="00B91A8F"/>
    <w:pPr>
      <w:spacing w:after="120"/>
      <w:ind w:left="567"/>
      <w:contextualSpacing/>
    </w:pPr>
  </w:style>
  <w:style w:type="paragraph" w:styleId="25">
    <w:name w:val="List Continue 2"/>
    <w:basedOn w:val="a1"/>
    <w:uiPriority w:val="14"/>
    <w:unhideWhenUsed/>
    <w:qFormat/>
    <w:rsid w:val="00B91A8F"/>
    <w:pPr>
      <w:spacing w:after="120"/>
      <w:ind w:left="1134"/>
      <w:contextualSpacing/>
    </w:pPr>
  </w:style>
  <w:style w:type="paragraph" w:styleId="34">
    <w:name w:val="List Continue 3"/>
    <w:basedOn w:val="a1"/>
    <w:uiPriority w:val="14"/>
    <w:unhideWhenUsed/>
    <w:qFormat/>
    <w:rsid w:val="00B91A8F"/>
    <w:pPr>
      <w:spacing w:after="120"/>
      <w:ind w:left="1701"/>
      <w:contextualSpacing/>
    </w:pPr>
  </w:style>
  <w:style w:type="paragraph" w:styleId="43">
    <w:name w:val="List Continue 4"/>
    <w:basedOn w:val="a1"/>
    <w:uiPriority w:val="14"/>
    <w:semiHidden/>
    <w:unhideWhenUsed/>
    <w:rsid w:val="00B91A8F"/>
    <w:pPr>
      <w:spacing w:after="120"/>
      <w:ind w:left="2268"/>
      <w:contextualSpacing/>
    </w:pPr>
  </w:style>
  <w:style w:type="paragraph" w:styleId="53">
    <w:name w:val="List Continue 5"/>
    <w:basedOn w:val="a1"/>
    <w:uiPriority w:val="14"/>
    <w:semiHidden/>
    <w:unhideWhenUsed/>
    <w:rsid w:val="00B91A8F"/>
    <w:pPr>
      <w:spacing w:after="120"/>
      <w:ind w:left="2835"/>
      <w:contextualSpacing/>
    </w:pPr>
  </w:style>
  <w:style w:type="paragraph" w:styleId="35">
    <w:name w:val="List 3"/>
    <w:basedOn w:val="a1"/>
    <w:uiPriority w:val="99"/>
    <w:semiHidden/>
    <w:unhideWhenUsed/>
    <w:rsid w:val="00B91A8F"/>
    <w:pPr>
      <w:ind w:left="1701" w:hanging="567"/>
      <w:contextualSpacing/>
    </w:pPr>
  </w:style>
  <w:style w:type="paragraph" w:styleId="44">
    <w:name w:val="List 4"/>
    <w:basedOn w:val="a1"/>
    <w:uiPriority w:val="99"/>
    <w:semiHidden/>
    <w:unhideWhenUsed/>
    <w:rsid w:val="00B91A8F"/>
    <w:pPr>
      <w:ind w:left="2268" w:hanging="567"/>
      <w:contextualSpacing/>
    </w:pPr>
  </w:style>
  <w:style w:type="paragraph" w:styleId="54">
    <w:name w:val="List 5"/>
    <w:basedOn w:val="a1"/>
    <w:uiPriority w:val="99"/>
    <w:semiHidden/>
    <w:unhideWhenUsed/>
    <w:rsid w:val="00B91A8F"/>
    <w:pPr>
      <w:ind w:left="2835" w:hanging="567"/>
      <w:contextualSpacing/>
    </w:pPr>
  </w:style>
  <w:style w:type="table" w:styleId="af5">
    <w:name w:val="Table Grid"/>
    <w:basedOn w:val="a4"/>
    <w:uiPriority w:val="59"/>
    <w:rsid w:val="00B91A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wCTableText">
    <w:name w:val="PwC Table Text"/>
    <w:basedOn w:val="a4"/>
    <w:uiPriority w:val="99"/>
    <w:qFormat/>
    <w:rsid w:val="00B91A8F"/>
    <w:pPr>
      <w:spacing w:before="60" w:after="60" w:line="240" w:lineRule="auto"/>
    </w:pPr>
    <w:tblPr>
      <w:tblStyleRowBandSize w:val="1"/>
      <w:tblInd w:w="0" w:type="dxa"/>
      <w:tblBorders>
        <w:insideH w:val="dotted" w:sz="4" w:space="0" w:color="968C6D" w:themeColor="text2"/>
      </w:tblBorders>
      <w:tblCellMar>
        <w:top w:w="0" w:type="dxa"/>
        <w:left w:w="108" w:type="dxa"/>
        <w:bottom w:w="0" w:type="dxa"/>
        <w:right w:w="108" w:type="dxa"/>
      </w:tblCellMar>
    </w:tblPr>
    <w:tblStylePr w:type="firstRow">
      <w:rPr>
        <w:b/>
      </w:rPr>
      <w:tblPr/>
      <w:tcPr>
        <w:tcBorders>
          <w:top w:val="single" w:sz="6" w:space="0" w:color="968C6D" w:themeColor="text2"/>
          <w:bottom w:val="single" w:sz="6" w:space="0" w:color="968C6D" w:themeColor="text2"/>
        </w:tcBorders>
      </w:tcPr>
    </w:tblStylePr>
    <w:tblStylePr w:type="lastRow">
      <w:rPr>
        <w:b/>
      </w:rPr>
      <w:tblPr/>
      <w:tcPr>
        <w:tcBorders>
          <w:top w:val="single" w:sz="6" w:space="0" w:color="968C6D" w:themeColor="text2"/>
          <w:bottom w:val="single" w:sz="6" w:space="0" w:color="968C6D" w:themeColor="text2"/>
        </w:tcBorders>
      </w:tcPr>
    </w:tblStylePr>
    <w:tblStylePr w:type="band1Horz">
      <w:tblPr/>
      <w:tcPr>
        <w:tcBorders>
          <w:bottom w:val="nil"/>
        </w:tcBorders>
      </w:tcPr>
    </w:tblStylePr>
  </w:style>
  <w:style w:type="character" w:customStyle="1" w:styleId="60">
    <w:name w:val="Заголовок 6 Знак"/>
    <w:basedOn w:val="a3"/>
    <w:link w:val="6"/>
    <w:uiPriority w:val="9"/>
    <w:semiHidden/>
    <w:rsid w:val="00B91A8F"/>
    <w:rPr>
      <w:rFonts w:asciiTheme="majorHAnsi" w:eastAsiaTheme="majorEastAsia" w:hAnsiTheme="majorHAnsi" w:cstheme="majorBidi"/>
      <w:iCs/>
    </w:rPr>
  </w:style>
  <w:style w:type="character" w:customStyle="1" w:styleId="70">
    <w:name w:val="Заголовок 7 Знак"/>
    <w:basedOn w:val="a3"/>
    <w:link w:val="7"/>
    <w:uiPriority w:val="9"/>
    <w:semiHidden/>
    <w:rsid w:val="00B91A8F"/>
    <w:rPr>
      <w:rFonts w:asciiTheme="majorHAnsi" w:eastAsiaTheme="majorEastAsia" w:hAnsiTheme="majorHAnsi" w:cstheme="majorBidi"/>
      <w:iCs/>
    </w:rPr>
  </w:style>
  <w:style w:type="character" w:customStyle="1" w:styleId="80">
    <w:name w:val="Заголовок 8 Знак"/>
    <w:basedOn w:val="a3"/>
    <w:link w:val="8"/>
    <w:uiPriority w:val="9"/>
    <w:semiHidden/>
    <w:rsid w:val="00B91A8F"/>
    <w:rPr>
      <w:rFonts w:asciiTheme="majorHAnsi" w:eastAsiaTheme="majorEastAsia" w:hAnsiTheme="majorHAnsi" w:cstheme="majorBidi"/>
    </w:rPr>
  </w:style>
  <w:style w:type="character" w:customStyle="1" w:styleId="90">
    <w:name w:val="Заголовок 9 Знак"/>
    <w:basedOn w:val="a3"/>
    <w:link w:val="9"/>
    <w:uiPriority w:val="9"/>
    <w:semiHidden/>
    <w:rsid w:val="00B91A8F"/>
    <w:rPr>
      <w:rFonts w:asciiTheme="majorHAnsi" w:eastAsiaTheme="majorEastAsia" w:hAnsiTheme="majorHAnsi" w:cstheme="majorBidi"/>
      <w:iCs/>
    </w:rPr>
  </w:style>
  <w:style w:type="table" w:styleId="2-3">
    <w:name w:val="Medium Shading 2 Accent 3"/>
    <w:basedOn w:val="a4"/>
    <w:uiPriority w:val="64"/>
    <w:rsid w:val="00B91A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
    <w:name w:val="Light List Accent 6"/>
    <w:basedOn w:val="a4"/>
    <w:uiPriority w:val="61"/>
    <w:rsid w:val="00B91A8F"/>
    <w:pPr>
      <w:spacing w:after="0" w:line="240" w:lineRule="auto"/>
    </w:pPr>
    <w:tblPr>
      <w:tblStyleRowBandSize w:val="1"/>
      <w:tblStyleColBandSize w:val="1"/>
      <w:tblInd w:w="0" w:type="dxa"/>
      <w:tblBorders>
        <w:top w:val="single" w:sz="8" w:space="0" w:color="E0301E" w:themeColor="accent6"/>
        <w:left w:val="single" w:sz="8" w:space="0" w:color="E0301E" w:themeColor="accent6"/>
        <w:bottom w:val="single" w:sz="8" w:space="0" w:color="E0301E" w:themeColor="accent6"/>
        <w:right w:val="single" w:sz="8" w:space="0" w:color="E0301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paragraph" w:styleId="af6">
    <w:name w:val="List Paragraph"/>
    <w:basedOn w:val="a1"/>
    <w:uiPriority w:val="34"/>
    <w:unhideWhenUsed/>
    <w:qFormat/>
    <w:rsid w:val="00207DBB"/>
    <w:pPr>
      <w:ind w:left="720"/>
      <w:contextualSpacing/>
    </w:pPr>
  </w:style>
  <w:style w:type="character" w:styleId="af7">
    <w:name w:val="annotation reference"/>
    <w:basedOn w:val="a3"/>
    <w:uiPriority w:val="99"/>
    <w:semiHidden/>
    <w:unhideWhenUsed/>
    <w:rsid w:val="00207DBB"/>
    <w:rPr>
      <w:sz w:val="16"/>
      <w:szCs w:val="16"/>
    </w:rPr>
  </w:style>
  <w:style w:type="paragraph" w:styleId="af8">
    <w:name w:val="annotation text"/>
    <w:basedOn w:val="a1"/>
    <w:link w:val="af9"/>
    <w:uiPriority w:val="99"/>
    <w:semiHidden/>
    <w:unhideWhenUsed/>
    <w:rsid w:val="00207DBB"/>
    <w:pPr>
      <w:spacing w:line="240" w:lineRule="auto"/>
    </w:pPr>
  </w:style>
  <w:style w:type="character" w:customStyle="1" w:styleId="af9">
    <w:name w:val="Текст примечания Знак"/>
    <w:basedOn w:val="a3"/>
    <w:link w:val="af8"/>
    <w:uiPriority w:val="99"/>
    <w:semiHidden/>
    <w:rsid w:val="00207DBB"/>
  </w:style>
  <w:style w:type="paragraph" w:styleId="afa">
    <w:name w:val="annotation subject"/>
    <w:basedOn w:val="af8"/>
    <w:next w:val="af8"/>
    <w:link w:val="afb"/>
    <w:uiPriority w:val="99"/>
    <w:semiHidden/>
    <w:unhideWhenUsed/>
    <w:rsid w:val="00207DBB"/>
    <w:rPr>
      <w:b/>
      <w:bCs/>
    </w:rPr>
  </w:style>
  <w:style w:type="character" w:customStyle="1" w:styleId="afb">
    <w:name w:val="Тема примечания Знак"/>
    <w:basedOn w:val="af9"/>
    <w:link w:val="afa"/>
    <w:uiPriority w:val="99"/>
    <w:semiHidden/>
    <w:rsid w:val="00207DBB"/>
    <w:rPr>
      <w:b/>
      <w:bCs/>
    </w:rPr>
  </w:style>
  <w:style w:type="paragraph" w:customStyle="1" w:styleId="ListParagraph1">
    <w:name w:val="List Paragraph1"/>
    <w:basedOn w:val="a1"/>
    <w:rsid w:val="005E0339"/>
    <w:pPr>
      <w:spacing w:after="0" w:line="288" w:lineRule="auto"/>
      <w:ind w:left="720"/>
      <w:jc w:val="center"/>
    </w:pPr>
    <w:rPr>
      <w:rFonts w:ascii="Times New Roman" w:eastAsia="Times New Roman" w:hAnsi="Times New Roman" w:cs="Times New Roman"/>
      <w:sz w:val="24"/>
      <w:szCs w:val="24"/>
      <w:lang w:val="ru-RU" w:eastAsia="ru-RU"/>
    </w:rPr>
  </w:style>
  <w:style w:type="paragraph" w:styleId="afc">
    <w:name w:val="Normal (Web)"/>
    <w:aliases w:val="Знак, Знак"/>
    <w:basedOn w:val="a1"/>
    <w:link w:val="afd"/>
    <w:uiPriority w:val="99"/>
    <w:qFormat/>
    <w:rsid w:val="007F64F8"/>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12">
    <w:name w:val="Абзац списка1"/>
    <w:basedOn w:val="a1"/>
    <w:qFormat/>
    <w:rsid w:val="00EC6C34"/>
    <w:pPr>
      <w:spacing w:after="200" w:line="276" w:lineRule="auto"/>
      <w:ind w:left="720"/>
      <w:contextualSpacing/>
    </w:pPr>
    <w:rPr>
      <w:rFonts w:ascii="Calibri" w:eastAsia="Times New Roman" w:hAnsi="Calibri" w:cs="Times New Roman"/>
      <w:sz w:val="22"/>
      <w:szCs w:val="22"/>
      <w:lang w:val="ru-RU"/>
    </w:rPr>
  </w:style>
  <w:style w:type="paragraph" w:styleId="afe">
    <w:name w:val="footnote text"/>
    <w:basedOn w:val="a1"/>
    <w:link w:val="aff"/>
    <w:semiHidden/>
    <w:rsid w:val="00704866"/>
    <w:pPr>
      <w:spacing w:after="0" w:line="240" w:lineRule="auto"/>
    </w:pPr>
    <w:rPr>
      <w:rFonts w:ascii="Calibri" w:eastAsia="Calibri" w:hAnsi="Calibri" w:cs="Times New Roman"/>
      <w:lang w:val="en-US"/>
    </w:rPr>
  </w:style>
  <w:style w:type="character" w:customStyle="1" w:styleId="aff">
    <w:name w:val="Текст сноски Знак"/>
    <w:basedOn w:val="a3"/>
    <w:link w:val="afe"/>
    <w:semiHidden/>
    <w:rsid w:val="00704866"/>
    <w:rPr>
      <w:rFonts w:ascii="Calibri" w:eastAsia="Calibri" w:hAnsi="Calibri" w:cs="Times New Roman"/>
      <w:lang w:val="en-US"/>
    </w:rPr>
  </w:style>
  <w:style w:type="character" w:styleId="aff0">
    <w:name w:val="footnote reference"/>
    <w:semiHidden/>
    <w:rsid w:val="00704866"/>
    <w:rPr>
      <w:vertAlign w:val="superscript"/>
    </w:rPr>
  </w:style>
  <w:style w:type="paragraph" w:customStyle="1" w:styleId="cb">
    <w:name w:val="cb"/>
    <w:basedOn w:val="a1"/>
    <w:rsid w:val="00704866"/>
    <w:pPr>
      <w:spacing w:after="0" w:line="240" w:lineRule="auto"/>
      <w:jc w:val="center"/>
    </w:pPr>
    <w:rPr>
      <w:rFonts w:ascii="Times New Roman" w:eastAsia="Times New Roman" w:hAnsi="Times New Roman" w:cs="Times New Roman"/>
      <w:b/>
      <w:bCs/>
      <w:sz w:val="24"/>
      <w:szCs w:val="24"/>
      <w:lang w:val="ru-RU" w:eastAsia="ru-RU"/>
    </w:rPr>
  </w:style>
  <w:style w:type="character" w:customStyle="1" w:styleId="apple-style-span">
    <w:name w:val="apple-style-span"/>
    <w:basedOn w:val="a3"/>
    <w:rsid w:val="00FF6193"/>
    <w:rPr>
      <w:rFonts w:cs="Times New Roman"/>
    </w:rPr>
  </w:style>
  <w:style w:type="paragraph" w:customStyle="1" w:styleId="cn">
    <w:name w:val="cn"/>
    <w:basedOn w:val="a1"/>
    <w:rsid w:val="00FF6193"/>
    <w:pPr>
      <w:spacing w:after="0" w:line="240" w:lineRule="auto"/>
      <w:jc w:val="center"/>
    </w:pPr>
    <w:rPr>
      <w:rFonts w:ascii="Times New Roman" w:eastAsia="Times New Roman" w:hAnsi="Times New Roman" w:cs="Times New Roman"/>
      <w:sz w:val="24"/>
      <w:szCs w:val="24"/>
      <w:lang w:val="ro-RO" w:eastAsia="ro-RO"/>
    </w:rPr>
  </w:style>
  <w:style w:type="paragraph" w:styleId="aff1">
    <w:name w:val="No Spacing"/>
    <w:uiPriority w:val="1"/>
    <w:qFormat/>
    <w:rsid w:val="00095599"/>
    <w:pPr>
      <w:spacing w:after="0" w:line="240" w:lineRule="auto"/>
    </w:pPr>
    <w:rPr>
      <w:rFonts w:ascii="Arial" w:eastAsia="Times New Roman" w:hAnsi="Arial" w:cs="Arial"/>
      <w:sz w:val="24"/>
      <w:szCs w:val="24"/>
      <w:lang w:val="ru-RU" w:eastAsia="ru-RU"/>
    </w:rPr>
  </w:style>
  <w:style w:type="character" w:styleId="aff2">
    <w:name w:val="Strong"/>
    <w:basedOn w:val="a3"/>
    <w:uiPriority w:val="22"/>
    <w:qFormat/>
    <w:rsid w:val="00095599"/>
    <w:rPr>
      <w:rFonts w:cs="Times New Roman"/>
      <w:b/>
      <w:bCs/>
    </w:rPr>
  </w:style>
  <w:style w:type="character" w:customStyle="1" w:styleId="apple-converted-space">
    <w:name w:val="apple-converted-space"/>
    <w:basedOn w:val="a3"/>
    <w:rsid w:val="00457B2D"/>
  </w:style>
  <w:style w:type="character" w:customStyle="1" w:styleId="afd">
    <w:name w:val="Обычный (веб) Знак"/>
    <w:aliases w:val="Знак Знак, Знак Знак"/>
    <w:basedOn w:val="a3"/>
    <w:link w:val="afc"/>
    <w:locked/>
    <w:rsid w:val="000843E1"/>
    <w:rPr>
      <w:rFonts w:ascii="Times New Roman" w:eastAsia="Times New Roman" w:hAnsi="Times New Roman" w:cs="Times New Roman"/>
      <w:sz w:val="24"/>
      <w:szCs w:val="24"/>
      <w:lang w:val="ru-RU" w:eastAsia="ru-RU"/>
    </w:rPr>
  </w:style>
  <w:style w:type="paragraph" w:customStyle="1" w:styleId="13">
    <w:name w:val="Без интервала1"/>
    <w:rsid w:val="00832607"/>
    <w:pPr>
      <w:spacing w:after="0" w:line="240" w:lineRule="auto"/>
    </w:pPr>
    <w:rPr>
      <w:rFonts w:ascii="Times New Roman" w:eastAsia="Times New Roman" w:hAnsi="Times New Roman" w:cs="Times New Roman"/>
      <w:sz w:val="24"/>
      <w:szCs w:val="24"/>
      <w:lang w:val="ru-RU" w:eastAsia="ru-RU"/>
    </w:rPr>
  </w:style>
  <w:style w:type="character" w:customStyle="1" w:styleId="hps">
    <w:name w:val="hps"/>
    <w:basedOn w:val="a3"/>
    <w:rsid w:val="00390B9B"/>
  </w:style>
  <w:style w:type="character" w:styleId="aff3">
    <w:name w:val="Emphasis"/>
    <w:basedOn w:val="a3"/>
    <w:uiPriority w:val="20"/>
    <w:qFormat/>
    <w:rsid w:val="00354DD9"/>
    <w:rPr>
      <w:i/>
      <w:iCs/>
    </w:rPr>
  </w:style>
  <w:style w:type="character" w:customStyle="1" w:styleId="FootnoteCharacters">
    <w:name w:val="Footnote Characters"/>
    <w:basedOn w:val="a3"/>
    <w:rsid w:val="00BC4AB3"/>
    <w:rPr>
      <w:vertAlign w:val="superscript"/>
    </w:rPr>
  </w:style>
  <w:style w:type="character" w:customStyle="1" w:styleId="docbody">
    <w:name w:val="doc_body"/>
    <w:basedOn w:val="a3"/>
    <w:rsid w:val="005F33F7"/>
  </w:style>
  <w:style w:type="character" w:customStyle="1" w:styleId="docheader">
    <w:name w:val="doc_header"/>
    <w:basedOn w:val="a3"/>
    <w:rsid w:val="005F33F7"/>
  </w:style>
  <w:style w:type="character" w:customStyle="1" w:styleId="docblue">
    <w:name w:val="doc_blue"/>
    <w:basedOn w:val="a3"/>
    <w:rsid w:val="001D2950"/>
  </w:style>
  <w:style w:type="paragraph" w:customStyle="1" w:styleId="26">
    <w:name w:val="Без интервала2"/>
    <w:rsid w:val="007A2AE3"/>
    <w:pPr>
      <w:spacing w:after="0" w:line="240" w:lineRule="auto"/>
    </w:pPr>
    <w:rPr>
      <w:rFonts w:ascii="Times New Roman" w:eastAsia="Times New Roman" w:hAnsi="Times New Roman" w:cs="Times New Roman"/>
      <w:sz w:val="24"/>
      <w:szCs w:val="24"/>
      <w:lang w:val="ru-RU" w:eastAsia="ru-RU"/>
    </w:rPr>
  </w:style>
  <w:style w:type="paragraph" w:styleId="aff4">
    <w:name w:val="Revision"/>
    <w:hidden/>
    <w:uiPriority w:val="99"/>
    <w:semiHidden/>
    <w:rsid w:val="004E7078"/>
    <w:pPr>
      <w:spacing w:after="0" w:line="240" w:lineRule="auto"/>
    </w:pPr>
  </w:style>
</w:styles>
</file>

<file path=word/webSettings.xml><?xml version="1.0" encoding="utf-8"?>
<w:webSettings xmlns:r="http://schemas.openxmlformats.org/officeDocument/2006/relationships" xmlns:w="http://schemas.openxmlformats.org/wordprocessingml/2006/main">
  <w:divs>
    <w:div w:id="255333044">
      <w:bodyDiv w:val="1"/>
      <w:marLeft w:val="0"/>
      <w:marRight w:val="0"/>
      <w:marTop w:val="0"/>
      <w:marBottom w:val="0"/>
      <w:divBdr>
        <w:top w:val="none" w:sz="0" w:space="0" w:color="auto"/>
        <w:left w:val="none" w:sz="0" w:space="0" w:color="auto"/>
        <w:bottom w:val="none" w:sz="0" w:space="0" w:color="auto"/>
        <w:right w:val="none" w:sz="0" w:space="0" w:color="auto"/>
      </w:divBdr>
    </w:div>
    <w:div w:id="314995894">
      <w:bodyDiv w:val="1"/>
      <w:marLeft w:val="0"/>
      <w:marRight w:val="0"/>
      <w:marTop w:val="0"/>
      <w:marBottom w:val="0"/>
      <w:divBdr>
        <w:top w:val="none" w:sz="0" w:space="0" w:color="auto"/>
        <w:left w:val="none" w:sz="0" w:space="0" w:color="auto"/>
        <w:bottom w:val="none" w:sz="0" w:space="0" w:color="auto"/>
        <w:right w:val="none" w:sz="0" w:space="0" w:color="auto"/>
      </w:divBdr>
    </w:div>
    <w:div w:id="469857978">
      <w:bodyDiv w:val="1"/>
      <w:marLeft w:val="0"/>
      <w:marRight w:val="0"/>
      <w:marTop w:val="0"/>
      <w:marBottom w:val="0"/>
      <w:divBdr>
        <w:top w:val="none" w:sz="0" w:space="0" w:color="auto"/>
        <w:left w:val="none" w:sz="0" w:space="0" w:color="auto"/>
        <w:bottom w:val="none" w:sz="0" w:space="0" w:color="auto"/>
        <w:right w:val="none" w:sz="0" w:space="0" w:color="auto"/>
      </w:divBdr>
      <w:divsChild>
        <w:div w:id="1944796454">
          <w:marLeft w:val="0"/>
          <w:marRight w:val="0"/>
          <w:marTop w:val="0"/>
          <w:marBottom w:val="0"/>
          <w:divBdr>
            <w:top w:val="none" w:sz="0" w:space="0" w:color="auto"/>
            <w:left w:val="none" w:sz="0" w:space="0" w:color="auto"/>
            <w:bottom w:val="none" w:sz="0" w:space="0" w:color="auto"/>
            <w:right w:val="none" w:sz="0" w:space="0" w:color="auto"/>
          </w:divBdr>
        </w:div>
        <w:div w:id="1934624913">
          <w:marLeft w:val="0"/>
          <w:marRight w:val="0"/>
          <w:marTop w:val="0"/>
          <w:marBottom w:val="0"/>
          <w:divBdr>
            <w:top w:val="none" w:sz="0" w:space="0" w:color="auto"/>
            <w:left w:val="none" w:sz="0" w:space="0" w:color="auto"/>
            <w:bottom w:val="none" w:sz="0" w:space="0" w:color="auto"/>
            <w:right w:val="none" w:sz="0" w:space="0" w:color="auto"/>
          </w:divBdr>
        </w:div>
      </w:divsChild>
    </w:div>
    <w:div w:id="930546428">
      <w:bodyDiv w:val="1"/>
      <w:marLeft w:val="0"/>
      <w:marRight w:val="0"/>
      <w:marTop w:val="0"/>
      <w:marBottom w:val="0"/>
      <w:divBdr>
        <w:top w:val="none" w:sz="0" w:space="0" w:color="auto"/>
        <w:left w:val="none" w:sz="0" w:space="0" w:color="auto"/>
        <w:bottom w:val="none" w:sz="0" w:space="0" w:color="auto"/>
        <w:right w:val="none" w:sz="0" w:space="0" w:color="auto"/>
      </w:divBdr>
    </w:div>
    <w:div w:id="1040977260">
      <w:bodyDiv w:val="1"/>
      <w:marLeft w:val="0"/>
      <w:marRight w:val="0"/>
      <w:marTop w:val="0"/>
      <w:marBottom w:val="0"/>
      <w:divBdr>
        <w:top w:val="none" w:sz="0" w:space="0" w:color="auto"/>
        <w:left w:val="none" w:sz="0" w:space="0" w:color="auto"/>
        <w:bottom w:val="none" w:sz="0" w:space="0" w:color="auto"/>
        <w:right w:val="none" w:sz="0" w:space="0" w:color="auto"/>
      </w:divBdr>
    </w:div>
    <w:div w:id="1079672139">
      <w:bodyDiv w:val="1"/>
      <w:marLeft w:val="0"/>
      <w:marRight w:val="0"/>
      <w:marTop w:val="0"/>
      <w:marBottom w:val="0"/>
      <w:divBdr>
        <w:top w:val="none" w:sz="0" w:space="0" w:color="auto"/>
        <w:left w:val="none" w:sz="0" w:space="0" w:color="auto"/>
        <w:bottom w:val="none" w:sz="0" w:space="0" w:color="auto"/>
        <w:right w:val="none" w:sz="0" w:space="0" w:color="auto"/>
      </w:divBdr>
    </w:div>
    <w:div w:id="1093822334">
      <w:bodyDiv w:val="1"/>
      <w:marLeft w:val="0"/>
      <w:marRight w:val="0"/>
      <w:marTop w:val="0"/>
      <w:marBottom w:val="0"/>
      <w:divBdr>
        <w:top w:val="none" w:sz="0" w:space="0" w:color="auto"/>
        <w:left w:val="none" w:sz="0" w:space="0" w:color="auto"/>
        <w:bottom w:val="none" w:sz="0" w:space="0" w:color="auto"/>
        <w:right w:val="none" w:sz="0" w:space="0" w:color="auto"/>
      </w:divBdr>
    </w:div>
    <w:div w:id="1499535381">
      <w:bodyDiv w:val="1"/>
      <w:marLeft w:val="0"/>
      <w:marRight w:val="0"/>
      <w:marTop w:val="0"/>
      <w:marBottom w:val="0"/>
      <w:divBdr>
        <w:top w:val="none" w:sz="0" w:space="0" w:color="auto"/>
        <w:left w:val="none" w:sz="0" w:space="0" w:color="auto"/>
        <w:bottom w:val="none" w:sz="0" w:space="0" w:color="auto"/>
        <w:right w:val="none" w:sz="0" w:space="0" w:color="auto"/>
      </w:divBdr>
    </w:div>
    <w:div w:id="1763257788">
      <w:bodyDiv w:val="1"/>
      <w:marLeft w:val="0"/>
      <w:marRight w:val="0"/>
      <w:marTop w:val="0"/>
      <w:marBottom w:val="0"/>
      <w:divBdr>
        <w:top w:val="none" w:sz="0" w:space="0" w:color="auto"/>
        <w:left w:val="none" w:sz="0" w:space="0" w:color="auto"/>
        <w:bottom w:val="none" w:sz="0" w:space="0" w:color="auto"/>
        <w:right w:val="none" w:sz="0" w:space="0" w:color="auto"/>
      </w:divBdr>
    </w:div>
    <w:div w:id="192676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sceban001\Local%20Settings\Temp\notesC9812B\TEXT=LPLP2011122326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cuments%20and%20Settings\sceban001\Local%20Settings\Temp\notesC9812B\TEXT=LPLP20111223267" TargetMode="External"/></Relationships>
</file>

<file path=word/theme/theme1.xml><?xml version="1.0" encoding="utf-8"?>
<a:theme xmlns:a="http://schemas.openxmlformats.org/drawingml/2006/main" name="PwC">
  <a:themeElements>
    <a:clrScheme name="PwC Grey">
      <a:dk1>
        <a:srgbClr val="000000"/>
      </a:dk1>
      <a:lt1>
        <a:srgbClr val="FFFFFF"/>
      </a:lt1>
      <a:dk2>
        <a:srgbClr val="968C6D"/>
      </a:dk2>
      <a:lt2>
        <a:srgbClr val="FFFFFF"/>
      </a:lt2>
      <a:accent1>
        <a:srgbClr val="968C6D"/>
      </a:accent1>
      <a:accent2>
        <a:srgbClr val="D5D1C5"/>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A93F7-FFBE-494C-91F0-12FCBCFE0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5436</Words>
  <Characters>30986</Characters>
  <Application>Microsoft Office Word</Application>
  <DocSecurity>0</DocSecurity>
  <Lines>258</Lines>
  <Paragraphs>72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PricewaterhouseCoopers</Company>
  <LinksUpToDate>false</LinksUpToDate>
  <CharactersWithSpaces>36350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 Name</dc:creator>
  <cp:lastModifiedBy>Mariana</cp:lastModifiedBy>
  <cp:revision>2</cp:revision>
  <cp:lastPrinted>2012-05-18T06:15:00Z</cp:lastPrinted>
  <dcterms:created xsi:type="dcterms:W3CDTF">2012-05-21T12:37:00Z</dcterms:created>
  <dcterms:modified xsi:type="dcterms:W3CDTF">2012-05-21T12:37:00Z</dcterms:modified>
</cp:coreProperties>
</file>